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DF" w:rsidRPr="00646628" w:rsidRDefault="00D852DF" w:rsidP="00D852DF">
      <w:pPr>
        <w:widowControl w:val="0"/>
        <w:spacing w:line="360" w:lineRule="exact"/>
        <w:jc w:val="center"/>
        <w:rPr>
          <w:b/>
          <w:sz w:val="26"/>
          <w:szCs w:val="26"/>
        </w:rPr>
      </w:pPr>
      <w:r w:rsidRPr="00646628">
        <w:rPr>
          <w:b/>
          <w:sz w:val="26"/>
          <w:szCs w:val="26"/>
        </w:rPr>
        <w:t>DỰ KIẾN NỘI DUNG KỲ HỌP THỨ 2, QUỐC HỘI KHÓA XV</w:t>
      </w:r>
    </w:p>
    <w:p w:rsidR="0026063A" w:rsidRPr="00646628" w:rsidRDefault="000D10D5" w:rsidP="00D852DF">
      <w:pPr>
        <w:widowControl w:val="0"/>
        <w:spacing w:line="360" w:lineRule="exact"/>
        <w:jc w:val="center"/>
        <w:rPr>
          <w:i/>
          <w:sz w:val="26"/>
          <w:szCs w:val="26"/>
        </w:rPr>
      </w:pPr>
      <w:r w:rsidRPr="000D10D5">
        <w:rPr>
          <w:b/>
          <w:noProof/>
        </w:rPr>
        <w:pict>
          <v:line id="Straight Connector 1" o:spid="_x0000_s1026" style="position:absolute;left:0;text-align:left;z-index:251659264;visibility:visible" from="189pt,21.15pt" to="27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"/>
        </w:pict>
      </w:r>
      <w:r w:rsidR="007712BE" w:rsidRPr="00646628">
        <w:rPr>
          <w:i/>
          <w:sz w:val="26"/>
          <w:szCs w:val="26"/>
        </w:rPr>
        <w:t>(Trình UBTVQH tại phiên họp thứ 04)</w:t>
      </w:r>
    </w:p>
    <w:p w:rsidR="00D852DF" w:rsidRPr="00646628" w:rsidRDefault="00D852DF" w:rsidP="00D852DF">
      <w:pPr>
        <w:widowControl w:val="0"/>
        <w:spacing w:after="120" w:line="380" w:lineRule="exact"/>
        <w:jc w:val="center"/>
        <w:rPr>
          <w:i/>
          <w:sz w:val="26"/>
        </w:rPr>
      </w:pPr>
    </w:p>
    <w:p w:rsidR="00D852DF" w:rsidRPr="00646628" w:rsidRDefault="00D852DF" w:rsidP="00D852DF">
      <w:pPr>
        <w:widowControl w:val="0"/>
        <w:spacing w:before="120" w:line="340" w:lineRule="exact"/>
        <w:ind w:firstLine="720"/>
        <w:jc w:val="both"/>
        <w:rPr>
          <w:i/>
          <w:sz w:val="28"/>
          <w:szCs w:val="28"/>
        </w:rPr>
      </w:pPr>
      <w:r w:rsidRPr="00646628">
        <w:rPr>
          <w:b/>
          <w:sz w:val="28"/>
          <w:szCs w:val="28"/>
        </w:rPr>
        <w:t>I.Công tác lập pháp</w:t>
      </w:r>
    </w:p>
    <w:p w:rsidR="00F438E5" w:rsidRPr="00646628" w:rsidRDefault="00D852DF" w:rsidP="00D852DF">
      <w:pPr>
        <w:widowControl w:val="0"/>
        <w:spacing w:before="120" w:line="340" w:lineRule="exact"/>
        <w:ind w:firstLine="720"/>
        <w:jc w:val="both"/>
        <w:rPr>
          <w:sz w:val="28"/>
          <w:szCs w:val="28"/>
        </w:rPr>
      </w:pPr>
      <w:r w:rsidRPr="00646628">
        <w:rPr>
          <w:i/>
          <w:sz w:val="28"/>
          <w:szCs w:val="28"/>
        </w:rPr>
        <w:t xml:space="preserve">a) Xem xét thông qua </w:t>
      </w:r>
      <w:r w:rsidR="00F438E5" w:rsidRPr="00646628">
        <w:rPr>
          <w:i/>
          <w:sz w:val="28"/>
          <w:szCs w:val="28"/>
        </w:rPr>
        <w:t xml:space="preserve">02 </w:t>
      </w:r>
      <w:r w:rsidRPr="00646628">
        <w:rPr>
          <w:i/>
          <w:sz w:val="28"/>
          <w:szCs w:val="28"/>
        </w:rPr>
        <w:t>dự án Luật</w:t>
      </w:r>
      <w:r w:rsidR="002248AA" w:rsidRPr="00646628">
        <w:rPr>
          <w:i/>
          <w:sz w:val="28"/>
          <w:szCs w:val="28"/>
        </w:rPr>
        <w:t>, 0</w:t>
      </w:r>
      <w:r w:rsidR="007712BE" w:rsidRPr="00646628">
        <w:rPr>
          <w:i/>
          <w:sz w:val="28"/>
          <w:szCs w:val="28"/>
        </w:rPr>
        <w:t>5</w:t>
      </w:r>
      <w:r w:rsidR="002248AA" w:rsidRPr="00646628">
        <w:rPr>
          <w:i/>
          <w:sz w:val="28"/>
          <w:szCs w:val="28"/>
        </w:rPr>
        <w:t xml:space="preserve"> dự thảo Nghị quyết</w:t>
      </w:r>
      <w:r w:rsidR="00791B9F" w:rsidRPr="00646628">
        <w:rPr>
          <w:sz w:val="28"/>
          <w:szCs w:val="28"/>
        </w:rPr>
        <w:t>(theo quy trình tại một kỳ họp)</w:t>
      </w:r>
    </w:p>
    <w:p w:rsidR="00D852DF" w:rsidRPr="00646628" w:rsidRDefault="00F438E5" w:rsidP="00D852DF">
      <w:pPr>
        <w:widowControl w:val="0"/>
        <w:spacing w:before="120" w:line="340" w:lineRule="exact"/>
        <w:ind w:firstLine="720"/>
        <w:jc w:val="both"/>
        <w:rPr>
          <w:sz w:val="28"/>
          <w:szCs w:val="28"/>
        </w:rPr>
      </w:pPr>
      <w:r w:rsidRPr="00646628">
        <w:rPr>
          <w:sz w:val="28"/>
          <w:szCs w:val="28"/>
        </w:rPr>
        <w:t xml:space="preserve">1. Luật </w:t>
      </w:r>
      <w:r w:rsidR="00D852DF" w:rsidRPr="00646628">
        <w:rPr>
          <w:sz w:val="28"/>
          <w:szCs w:val="28"/>
        </w:rPr>
        <w:t xml:space="preserve">sửa đổi, bổ sung </w:t>
      </w:r>
      <w:r w:rsidR="00A42B9B" w:rsidRPr="00646628">
        <w:rPr>
          <w:sz w:val="28"/>
          <w:szCs w:val="28"/>
        </w:rPr>
        <w:t>một số điều</w:t>
      </w:r>
      <w:r w:rsidR="00D852DF" w:rsidRPr="00646628">
        <w:rPr>
          <w:sz w:val="28"/>
          <w:szCs w:val="28"/>
        </w:rPr>
        <w:t xml:space="preserve"> của Luật Thống kê.</w:t>
      </w:r>
    </w:p>
    <w:p w:rsidR="00F438E5" w:rsidRPr="00646628" w:rsidRDefault="00F438E5" w:rsidP="00D852DF">
      <w:pPr>
        <w:widowControl w:val="0"/>
        <w:spacing w:before="120" w:line="340" w:lineRule="exact"/>
        <w:ind w:firstLine="720"/>
        <w:jc w:val="both"/>
        <w:rPr>
          <w:sz w:val="28"/>
          <w:szCs w:val="28"/>
        </w:rPr>
      </w:pPr>
      <w:r w:rsidRPr="00646628">
        <w:rPr>
          <w:sz w:val="28"/>
          <w:szCs w:val="28"/>
        </w:rPr>
        <w:t>2. Luật sửa đổi, bổ sung một số điều của Bộ luật Tố tụng hình sự.</w:t>
      </w:r>
    </w:p>
    <w:p w:rsidR="007712BE" w:rsidRPr="00646628" w:rsidRDefault="007712BE" w:rsidP="007712BE">
      <w:pPr>
        <w:widowControl w:val="0"/>
        <w:spacing w:before="120" w:line="340" w:lineRule="exact"/>
        <w:ind w:firstLine="720"/>
        <w:jc w:val="both"/>
        <w:rPr>
          <w:spacing w:val="4"/>
          <w:sz w:val="28"/>
          <w:szCs w:val="28"/>
        </w:rPr>
      </w:pPr>
      <w:r w:rsidRPr="00646628">
        <w:rPr>
          <w:spacing w:val="4"/>
          <w:sz w:val="28"/>
          <w:szCs w:val="28"/>
        </w:rPr>
        <w:t>3. Nghị quyết về một số cơ chế, chính sách đặc thù phát triển thành phố Hải Phòng.</w:t>
      </w:r>
    </w:p>
    <w:p w:rsidR="002248AA" w:rsidRPr="00646628" w:rsidRDefault="007712BE" w:rsidP="00D852DF">
      <w:pPr>
        <w:widowControl w:val="0"/>
        <w:spacing w:before="120" w:line="340" w:lineRule="exact"/>
        <w:ind w:firstLine="720"/>
        <w:jc w:val="both"/>
        <w:rPr>
          <w:sz w:val="28"/>
          <w:szCs w:val="28"/>
        </w:rPr>
      </w:pPr>
      <w:r w:rsidRPr="00646628">
        <w:rPr>
          <w:sz w:val="28"/>
          <w:szCs w:val="28"/>
        </w:rPr>
        <w:t>4</w:t>
      </w:r>
      <w:r w:rsidR="002248AA" w:rsidRPr="00646628">
        <w:rPr>
          <w:sz w:val="28"/>
          <w:szCs w:val="28"/>
        </w:rPr>
        <w:t xml:space="preserve">. Nghị quyết về một số cơ chế, chính sách đặc thù phát triển tỉnh </w:t>
      </w:r>
      <w:r w:rsidR="00256D91" w:rsidRPr="00646628">
        <w:rPr>
          <w:sz w:val="28"/>
          <w:szCs w:val="28"/>
        </w:rPr>
        <w:t>Nghệ An</w:t>
      </w:r>
      <w:r w:rsidR="002248AA" w:rsidRPr="00646628">
        <w:rPr>
          <w:sz w:val="28"/>
          <w:szCs w:val="28"/>
        </w:rPr>
        <w:t>.</w:t>
      </w:r>
    </w:p>
    <w:p w:rsidR="007712BE" w:rsidRPr="00646628" w:rsidRDefault="007712BE" w:rsidP="007712BE">
      <w:pPr>
        <w:widowControl w:val="0"/>
        <w:spacing w:before="120" w:line="340" w:lineRule="exact"/>
        <w:ind w:firstLine="720"/>
        <w:jc w:val="both"/>
        <w:rPr>
          <w:sz w:val="28"/>
          <w:szCs w:val="28"/>
        </w:rPr>
      </w:pPr>
      <w:r w:rsidRPr="00646628">
        <w:rPr>
          <w:spacing w:val="-4"/>
          <w:sz w:val="28"/>
          <w:szCs w:val="28"/>
        </w:rPr>
        <w:t>5. Nghị quyết về một số cơ chế, chính sách đặc thù phát triển tỉnh Thanh Hóa</w:t>
      </w:r>
      <w:r w:rsidRPr="00646628">
        <w:rPr>
          <w:sz w:val="28"/>
          <w:szCs w:val="28"/>
        </w:rPr>
        <w:t>.</w:t>
      </w:r>
    </w:p>
    <w:p w:rsidR="00256D91" w:rsidRPr="00646628" w:rsidRDefault="007712BE" w:rsidP="00256D91">
      <w:pPr>
        <w:widowControl w:val="0"/>
        <w:spacing w:before="120" w:line="340" w:lineRule="exact"/>
        <w:ind w:firstLine="720"/>
        <w:jc w:val="both"/>
        <w:rPr>
          <w:sz w:val="28"/>
          <w:szCs w:val="28"/>
        </w:rPr>
      </w:pPr>
      <w:r w:rsidRPr="00646628">
        <w:rPr>
          <w:sz w:val="28"/>
          <w:szCs w:val="28"/>
        </w:rPr>
        <w:t>6</w:t>
      </w:r>
      <w:r w:rsidR="00256D91" w:rsidRPr="00646628">
        <w:rPr>
          <w:sz w:val="28"/>
          <w:szCs w:val="28"/>
        </w:rPr>
        <w:t>. Nghị quyết về một số cơ chế, chính sách đặc thù phát triển tỉnh Thừa Thiên Huế.</w:t>
      </w:r>
    </w:p>
    <w:p w:rsidR="009279D2" w:rsidRPr="00646628" w:rsidRDefault="007712BE" w:rsidP="00D852DF">
      <w:pPr>
        <w:widowControl w:val="0"/>
        <w:spacing w:before="120" w:line="340" w:lineRule="exact"/>
        <w:ind w:firstLine="720"/>
        <w:jc w:val="both"/>
        <w:rPr>
          <w:i/>
          <w:sz w:val="28"/>
          <w:szCs w:val="28"/>
        </w:rPr>
      </w:pPr>
      <w:r w:rsidRPr="00646628">
        <w:rPr>
          <w:sz w:val="28"/>
          <w:szCs w:val="28"/>
        </w:rPr>
        <w:t>7</w:t>
      </w:r>
      <w:r w:rsidR="009279D2" w:rsidRPr="00646628">
        <w:rPr>
          <w:sz w:val="28"/>
          <w:szCs w:val="28"/>
        </w:rPr>
        <w:t xml:space="preserve">. </w:t>
      </w:r>
      <w:r w:rsidR="009279D2" w:rsidRPr="00646628">
        <w:rPr>
          <w:iCs/>
          <w:sz w:val="28"/>
          <w:szCs w:val="28"/>
        </w:rPr>
        <w:t>Nghị quyết quy định về việc tổ chức phiên tòa trực tuyến.</w:t>
      </w:r>
    </w:p>
    <w:p w:rsidR="00D852DF" w:rsidRPr="00646628" w:rsidRDefault="00D852DF" w:rsidP="00D852DF">
      <w:pPr>
        <w:widowControl w:val="0"/>
        <w:spacing w:before="120" w:line="340" w:lineRule="exact"/>
        <w:ind w:firstLine="720"/>
        <w:jc w:val="both"/>
        <w:rPr>
          <w:i/>
          <w:sz w:val="28"/>
          <w:szCs w:val="28"/>
        </w:rPr>
      </w:pPr>
      <w:r w:rsidRPr="00646628">
        <w:rPr>
          <w:i/>
          <w:sz w:val="28"/>
          <w:szCs w:val="28"/>
        </w:rPr>
        <w:t xml:space="preserve">b) Xem xét, cho ý kiến 05 dự án luật </w:t>
      </w:r>
    </w:p>
    <w:p w:rsidR="00D852DF" w:rsidRPr="00646628" w:rsidRDefault="00C34DAF" w:rsidP="00D852DF">
      <w:pPr>
        <w:widowControl w:val="0"/>
        <w:spacing w:before="120" w:line="340" w:lineRule="exact"/>
        <w:ind w:firstLine="720"/>
        <w:jc w:val="both"/>
        <w:rPr>
          <w:sz w:val="28"/>
          <w:szCs w:val="28"/>
        </w:rPr>
      </w:pPr>
      <w:r w:rsidRPr="00646628">
        <w:rPr>
          <w:sz w:val="28"/>
          <w:szCs w:val="28"/>
        </w:rPr>
        <w:t xml:space="preserve">1. </w:t>
      </w:r>
      <w:r w:rsidR="00D852DF" w:rsidRPr="00646628">
        <w:rPr>
          <w:sz w:val="28"/>
          <w:szCs w:val="28"/>
        </w:rPr>
        <w:t>Luật Cảnh sát cơ động;</w:t>
      </w:r>
    </w:p>
    <w:p w:rsidR="00D852DF" w:rsidRPr="00646628" w:rsidRDefault="00D852DF" w:rsidP="00D852DF">
      <w:pPr>
        <w:widowControl w:val="0"/>
        <w:spacing w:before="120" w:line="340" w:lineRule="exact"/>
        <w:ind w:firstLine="720"/>
        <w:jc w:val="both"/>
        <w:rPr>
          <w:sz w:val="28"/>
          <w:szCs w:val="28"/>
        </w:rPr>
      </w:pPr>
      <w:r w:rsidRPr="00646628">
        <w:rPr>
          <w:sz w:val="28"/>
          <w:szCs w:val="28"/>
        </w:rPr>
        <w:t xml:space="preserve">2. Luật Điện ảnh (sửa đổi); </w:t>
      </w:r>
    </w:p>
    <w:p w:rsidR="00D852DF" w:rsidRPr="00646628" w:rsidRDefault="00D852DF" w:rsidP="00D852DF">
      <w:pPr>
        <w:widowControl w:val="0"/>
        <w:spacing w:before="120" w:line="340" w:lineRule="exact"/>
        <w:ind w:firstLine="720"/>
        <w:jc w:val="both"/>
        <w:rPr>
          <w:sz w:val="28"/>
          <w:szCs w:val="28"/>
        </w:rPr>
      </w:pPr>
      <w:r w:rsidRPr="00646628">
        <w:rPr>
          <w:sz w:val="28"/>
          <w:szCs w:val="28"/>
        </w:rPr>
        <w:t>3. Luật Kinh doanh bảo hiểm (sửa đổi);</w:t>
      </w:r>
    </w:p>
    <w:p w:rsidR="00D852DF" w:rsidRPr="00646628" w:rsidRDefault="00D852DF" w:rsidP="00D852DF">
      <w:pPr>
        <w:widowControl w:val="0"/>
        <w:spacing w:before="120" w:line="340" w:lineRule="exact"/>
        <w:ind w:firstLine="720"/>
        <w:jc w:val="both"/>
        <w:rPr>
          <w:sz w:val="28"/>
          <w:szCs w:val="28"/>
        </w:rPr>
      </w:pPr>
      <w:r w:rsidRPr="00646628">
        <w:rPr>
          <w:sz w:val="28"/>
          <w:szCs w:val="28"/>
        </w:rPr>
        <w:t>4. Luật Thi đua, khen thưởng (sửa đổi);</w:t>
      </w:r>
    </w:p>
    <w:p w:rsidR="00D852DF" w:rsidRPr="00646628" w:rsidRDefault="00D852DF" w:rsidP="00D852DF">
      <w:pPr>
        <w:widowControl w:val="0"/>
        <w:spacing w:before="120" w:line="340" w:lineRule="exact"/>
        <w:ind w:firstLine="720"/>
        <w:jc w:val="both"/>
        <w:rPr>
          <w:sz w:val="28"/>
          <w:szCs w:val="28"/>
        </w:rPr>
      </w:pPr>
      <w:r w:rsidRPr="00646628">
        <w:rPr>
          <w:sz w:val="28"/>
          <w:szCs w:val="28"/>
        </w:rPr>
        <w:t>5. Luật sửa đổi, bổ sung một số điều của Luật Sở hữu trí tuệ.</w:t>
      </w:r>
    </w:p>
    <w:p w:rsidR="00D852DF" w:rsidRPr="00646628" w:rsidRDefault="00D852DF" w:rsidP="00D852DF">
      <w:pPr>
        <w:tabs>
          <w:tab w:val="left" w:pos="0"/>
          <w:tab w:val="left" w:pos="993"/>
        </w:tabs>
        <w:spacing w:before="120" w:line="340" w:lineRule="exact"/>
        <w:ind w:firstLine="709"/>
        <w:jc w:val="both"/>
        <w:rPr>
          <w:b/>
          <w:i/>
          <w:sz w:val="28"/>
          <w:szCs w:val="28"/>
          <w:lang w:val="de-DE"/>
        </w:rPr>
      </w:pPr>
      <w:r w:rsidRPr="00646628">
        <w:rPr>
          <w:b/>
          <w:sz w:val="28"/>
          <w:szCs w:val="28"/>
          <w:lang w:val="de-DE"/>
        </w:rPr>
        <w:t>II.Các vấn đề kinh tế-xã hội, ngân sách nhà nước, giám sát và các vấn đề quan trọng khác</w:t>
      </w:r>
    </w:p>
    <w:p w:rsidR="00351F0E" w:rsidRPr="00646628" w:rsidRDefault="00D852DF" w:rsidP="00D852DF">
      <w:pPr>
        <w:tabs>
          <w:tab w:val="left" w:pos="0"/>
          <w:tab w:val="left" w:pos="993"/>
        </w:tabs>
        <w:spacing w:before="120" w:line="340" w:lineRule="exact"/>
        <w:ind w:firstLine="709"/>
        <w:jc w:val="both"/>
        <w:rPr>
          <w:sz w:val="28"/>
          <w:szCs w:val="28"/>
          <w:lang w:val="de-DE"/>
        </w:rPr>
      </w:pPr>
      <w:r w:rsidRPr="00646628">
        <w:rPr>
          <w:sz w:val="28"/>
          <w:szCs w:val="28"/>
          <w:lang w:val="de-DE"/>
        </w:rPr>
        <w:t>- Xem xét các báo cáo về: đánh giá kết quả thực hiện kế hoạch phát triển kinh tế - xã hội và dự toán ngân sách nhà nước năm 2021</w:t>
      </w:r>
      <w:r w:rsidR="002C244E" w:rsidRPr="00646628">
        <w:rPr>
          <w:sz w:val="28"/>
          <w:szCs w:val="28"/>
          <w:lang w:val="de-DE"/>
        </w:rPr>
        <w:t xml:space="preserve">, </w:t>
      </w:r>
      <w:r w:rsidR="002C244E" w:rsidRPr="00646628">
        <w:rPr>
          <w:spacing w:val="-4"/>
          <w:sz w:val="28"/>
          <w:szCs w:val="28"/>
          <w:lang w:val="nl-NL"/>
        </w:rPr>
        <w:t>công tác phòng, chống dịch COVID-19, trong đó có nội dung về việc áp dụng các biện pháp đặc biệt phục vụ công tác phòng, chống dịch COVID-19</w:t>
      </w:r>
      <w:r w:rsidR="002C244E" w:rsidRPr="00646628">
        <w:rPr>
          <w:sz w:val="28"/>
          <w:szCs w:val="28"/>
          <w:lang w:val="nl-NL"/>
        </w:rPr>
        <w:t xml:space="preserve"> quy định tại Nghị quyết số 30/2021/QH15 về kỳ họp thứ nhất, Quốc hội khóa XV và </w:t>
      </w:r>
      <w:r w:rsidR="002C244E" w:rsidRPr="00646628">
        <w:rPr>
          <w:spacing w:val="-4"/>
          <w:sz w:val="28"/>
          <w:szCs w:val="28"/>
          <w:lang w:val="nl-NL"/>
        </w:rPr>
        <w:t>việc thực hiện Nghị quyết 68/NQ-CP ngày 01/7/2021 của Chính phủ về một số chính sách hỗ trợ người lao động và người sử dụng lao động gặp khó khăn do đại dịch COVID-19</w:t>
      </w:r>
      <w:r w:rsidRPr="00646628">
        <w:rPr>
          <w:sz w:val="28"/>
          <w:szCs w:val="28"/>
          <w:lang w:val="de-DE"/>
        </w:rPr>
        <w:t>; quyết định kế hoạch phát triển kinh tế - xã hội năm 2022, dự toán ngân sách nhà nước</w:t>
      </w:r>
      <w:r w:rsidRPr="00646628">
        <w:rPr>
          <w:rStyle w:val="FootnoteReference"/>
          <w:sz w:val="28"/>
          <w:szCs w:val="28"/>
          <w:lang w:val="de-DE"/>
        </w:rPr>
        <w:footnoteReference w:id="2"/>
      </w:r>
      <w:r w:rsidRPr="00646628">
        <w:rPr>
          <w:sz w:val="28"/>
          <w:szCs w:val="28"/>
          <w:lang w:val="de-DE"/>
        </w:rPr>
        <w:t xml:space="preserve"> </w:t>
      </w:r>
      <w:r w:rsidRPr="00646628">
        <w:rPr>
          <w:sz w:val="28"/>
          <w:szCs w:val="28"/>
          <w:lang w:val="de-DE"/>
        </w:rPr>
        <w:lastRenderedPageBreak/>
        <w:t>và phương án phân bổ ngân sách trung ương năm 2022</w:t>
      </w:r>
      <w:r w:rsidR="00D050B4">
        <w:rPr>
          <w:sz w:val="28"/>
          <w:szCs w:val="28"/>
          <w:lang w:val="de-DE"/>
        </w:rPr>
        <w:t xml:space="preserve"> (trong đó có việc lùi thời điểm cải cách chính sách tiền lương)</w:t>
      </w:r>
      <w:r w:rsidR="00342D2D">
        <w:rPr>
          <w:sz w:val="28"/>
          <w:szCs w:val="28"/>
          <w:lang w:val="de-DE"/>
        </w:rPr>
        <w:t>.</w:t>
      </w:r>
      <w:bookmarkStart w:id="0" w:name="_GoBack"/>
      <w:bookmarkEnd w:id="0"/>
    </w:p>
    <w:p w:rsidR="00351F0E" w:rsidRPr="00646628" w:rsidRDefault="00351F0E" w:rsidP="00351F0E">
      <w:pPr>
        <w:tabs>
          <w:tab w:val="left" w:pos="0"/>
          <w:tab w:val="left" w:pos="993"/>
        </w:tabs>
        <w:spacing w:before="120" w:line="340" w:lineRule="exact"/>
        <w:ind w:firstLine="709"/>
        <w:jc w:val="both"/>
        <w:rPr>
          <w:sz w:val="28"/>
          <w:szCs w:val="28"/>
          <w:lang w:val="de-DE"/>
        </w:rPr>
      </w:pPr>
      <w:r w:rsidRPr="00646628">
        <w:rPr>
          <w:sz w:val="28"/>
          <w:szCs w:val="28"/>
          <w:lang w:val="de-DE"/>
        </w:rPr>
        <w:t xml:space="preserve">- Xem xét </w:t>
      </w:r>
      <w:r w:rsidRPr="00646628">
        <w:rPr>
          <w:sz w:val="28"/>
          <w:szCs w:val="28"/>
          <w:lang w:val="nl-NL"/>
        </w:rPr>
        <w:t>các báo cáo công tác của Chánh án Toà án nhân dân tối cao, Viện trưởng Viện kiểm sát nhân dân tối cao;</w:t>
      </w:r>
      <w:r w:rsidRPr="00646628">
        <w:rPr>
          <w:sz w:val="28"/>
          <w:szCs w:val="28"/>
          <w:lang w:val="de-DE"/>
        </w:rPr>
        <w:t xml:space="preserve"> các báo cáo của Chính phủ về: công tác phòng, chống tham nhũng, công tác phòng, chống tội phạm và vi phạm pháp luật, công tác thi hành án năm 2021 (trong đó có nội dung về công tác quản lý, thi hành tạm giữ, tạm giam).</w:t>
      </w:r>
    </w:p>
    <w:p w:rsidR="00351F0E" w:rsidRPr="00646628" w:rsidRDefault="00351F0E" w:rsidP="00351F0E">
      <w:pPr>
        <w:widowControl w:val="0"/>
        <w:spacing w:before="120" w:line="320" w:lineRule="exact"/>
        <w:ind w:firstLine="720"/>
        <w:jc w:val="both"/>
        <w:rPr>
          <w:sz w:val="28"/>
          <w:szCs w:val="28"/>
          <w:lang w:val="nl-NL"/>
        </w:rPr>
      </w:pPr>
      <w:r w:rsidRPr="00646628">
        <w:rPr>
          <w:sz w:val="28"/>
          <w:szCs w:val="28"/>
          <w:lang w:val="nl-NL"/>
        </w:rPr>
        <w:t>- Tiến hành chất vấn và trả lời chất vấn của đại biểu Quốc hội.</w:t>
      </w:r>
    </w:p>
    <w:p w:rsidR="004C2882" w:rsidRPr="00646628" w:rsidRDefault="004C2882" w:rsidP="004C2882">
      <w:pPr>
        <w:widowControl w:val="0"/>
        <w:spacing w:before="120" w:line="320" w:lineRule="exact"/>
        <w:ind w:firstLine="720"/>
        <w:jc w:val="both"/>
        <w:rPr>
          <w:sz w:val="28"/>
          <w:szCs w:val="28"/>
          <w:lang w:val="nl-NL"/>
        </w:rPr>
      </w:pPr>
      <w:r w:rsidRPr="00646628">
        <w:rPr>
          <w:sz w:val="28"/>
          <w:szCs w:val="28"/>
          <w:lang w:val="nl-NL"/>
        </w:rPr>
        <w:t>- Ủy ban Trung ương Mặt trận Tổ quốc Việt Nam báo cáo tổng hợp ý kiến, kiến nghị của cử tri và Nhân dân gửi đến kỳ họp thứ 2, Quốc hội khóa XV; Ủy ban Thường vụ Quốc hội báo cáo về kết quả giám sát việc giải quyết kiến nghị của cử tri gửi đến kỳ họp thứ 11, Quốc hội khóa XIV.</w:t>
      </w:r>
    </w:p>
    <w:p w:rsidR="004C2882" w:rsidRPr="00646628" w:rsidRDefault="004C2882" w:rsidP="004C2882">
      <w:pPr>
        <w:tabs>
          <w:tab w:val="left" w:pos="0"/>
          <w:tab w:val="left" w:pos="993"/>
        </w:tabs>
        <w:spacing w:before="120" w:line="340" w:lineRule="exact"/>
        <w:ind w:firstLine="709"/>
        <w:jc w:val="both"/>
        <w:rPr>
          <w:sz w:val="28"/>
          <w:szCs w:val="28"/>
          <w:lang w:val="de-DE"/>
        </w:rPr>
      </w:pPr>
      <w:r w:rsidRPr="00646628">
        <w:rPr>
          <w:sz w:val="28"/>
          <w:szCs w:val="28"/>
          <w:lang w:val="de-DE"/>
        </w:rPr>
        <w:t xml:space="preserve">- Xem xét, quyết </w:t>
      </w:r>
      <w:r w:rsidRPr="00646628">
        <w:rPr>
          <w:sz w:val="28"/>
          <w:szCs w:val="28"/>
          <w:lang w:val="nl-NL"/>
        </w:rPr>
        <w:t xml:space="preserve">định quy hoạch </w:t>
      </w:r>
      <w:r w:rsidR="00A42B9B" w:rsidRPr="00646628">
        <w:rPr>
          <w:sz w:val="28"/>
          <w:szCs w:val="28"/>
          <w:lang w:val="nl-NL"/>
        </w:rPr>
        <w:t xml:space="preserve">sử dụng đất quốc gia thời kỳ 2021 - 2030, </w:t>
      </w:r>
      <w:r w:rsidR="00A42B9B" w:rsidRPr="00646628">
        <w:rPr>
          <w:sz w:val="28"/>
          <w:szCs w:val="28"/>
          <w:lang w:val="nl-NL"/>
        </w:rPr>
        <w:br/>
        <w:t>tầm nhìn đến năm 2045 và kế hoạch sử dụng đất 5 năm (2021 - 2025)</w:t>
      </w:r>
      <w:r w:rsidRPr="00646628">
        <w:rPr>
          <w:sz w:val="28"/>
          <w:szCs w:val="28"/>
          <w:lang w:val="nl-NL"/>
        </w:rPr>
        <w:t>.</w:t>
      </w:r>
    </w:p>
    <w:p w:rsidR="004C2882" w:rsidRPr="00646628" w:rsidRDefault="004C2882" w:rsidP="004C2882">
      <w:pPr>
        <w:tabs>
          <w:tab w:val="left" w:pos="0"/>
          <w:tab w:val="left" w:pos="993"/>
        </w:tabs>
        <w:spacing w:before="120" w:line="320" w:lineRule="exact"/>
        <w:ind w:firstLine="709"/>
        <w:jc w:val="both"/>
        <w:rPr>
          <w:sz w:val="28"/>
          <w:szCs w:val="28"/>
          <w:lang w:val="nl-NL"/>
        </w:rPr>
      </w:pPr>
      <w:r w:rsidRPr="00646628">
        <w:rPr>
          <w:sz w:val="28"/>
          <w:szCs w:val="28"/>
          <w:lang w:val="nl-NL"/>
        </w:rPr>
        <w:t>- Xem xét các Báo cáo về tình hình thực hiện chính sách, chế độ bảo hiểm xã hội, quản lý và sử dụng quỹ bảo hiểm xã hội năm 2020; việc quản lý và sử dụng quỹ bảo hiểm y tế năm 2020 và việc thực hiện Nghị quyết số 68/2013/QH13 về đẩy mạnh thực hiện chính sách, pháp luật về bảo hiểm y tế, tiến tới bảo hiểm y tế toàn dân trong 02 năm 2019-2020.</w:t>
      </w:r>
    </w:p>
    <w:p w:rsidR="00F37E32" w:rsidRPr="00646628" w:rsidRDefault="00F37E32" w:rsidP="00F37E32">
      <w:pPr>
        <w:tabs>
          <w:tab w:val="left" w:pos="0"/>
          <w:tab w:val="left" w:pos="993"/>
        </w:tabs>
        <w:spacing w:before="120" w:line="340" w:lineRule="exact"/>
        <w:ind w:firstLine="709"/>
        <w:jc w:val="both"/>
        <w:rPr>
          <w:sz w:val="28"/>
          <w:szCs w:val="28"/>
          <w:lang w:val="de-DE"/>
        </w:rPr>
      </w:pPr>
      <w:r w:rsidRPr="00646628">
        <w:rPr>
          <w:sz w:val="28"/>
          <w:szCs w:val="28"/>
          <w:lang w:val="de-DE"/>
        </w:rPr>
        <w:t>- Xem xét, quyết định Kế hoạch cơ cấu lại nền kinh tế giai đoạn 2021-2025.</w:t>
      </w:r>
    </w:p>
    <w:p w:rsidR="00D852DF" w:rsidRPr="00646628" w:rsidRDefault="00D852DF" w:rsidP="00EA07B8">
      <w:pPr>
        <w:tabs>
          <w:tab w:val="left" w:pos="0"/>
          <w:tab w:val="left" w:pos="993"/>
        </w:tabs>
        <w:spacing w:before="120" w:line="320" w:lineRule="exact"/>
        <w:ind w:firstLine="709"/>
        <w:jc w:val="both"/>
        <w:rPr>
          <w:sz w:val="28"/>
          <w:szCs w:val="28"/>
          <w:lang w:val="nl-NL"/>
        </w:rPr>
      </w:pPr>
      <w:r w:rsidRPr="00646628">
        <w:rPr>
          <w:sz w:val="28"/>
          <w:szCs w:val="28"/>
          <w:lang w:val="nl-NL"/>
        </w:rPr>
        <w:t>- Xem xét thông qua Nghị quyết về xử lý tài chính cho Tập đoàn Dầu khí Việt Nam khi thanh toán khoản tiền bù giá trong bao tiêu sản phẩm của Dự án Lọc hóa dầu Nghi Sơn</w:t>
      </w:r>
      <w:r w:rsidRPr="00646628">
        <w:rPr>
          <w:spacing w:val="-2"/>
          <w:sz w:val="28"/>
          <w:szCs w:val="28"/>
          <w:lang w:val="nl-NL"/>
        </w:rPr>
        <w:t>.</w:t>
      </w:r>
    </w:p>
    <w:p w:rsidR="00D852DF" w:rsidRPr="00646628" w:rsidRDefault="00D852DF" w:rsidP="00EA07B8">
      <w:pPr>
        <w:widowControl w:val="0"/>
        <w:spacing w:before="120" w:line="320" w:lineRule="exact"/>
        <w:ind w:firstLine="720"/>
        <w:jc w:val="both"/>
        <w:rPr>
          <w:sz w:val="28"/>
          <w:szCs w:val="28"/>
          <w:lang w:val="nl-NL"/>
        </w:rPr>
      </w:pPr>
      <w:r w:rsidRPr="00646628">
        <w:rPr>
          <w:sz w:val="28"/>
          <w:szCs w:val="28"/>
          <w:lang w:val="nl-NL"/>
        </w:rPr>
        <w:t xml:space="preserve">- Xem xét, thông qua Nghị quyết </w:t>
      </w:r>
      <w:r w:rsidR="00502190" w:rsidRPr="00646628">
        <w:rPr>
          <w:sz w:val="28"/>
          <w:szCs w:val="28"/>
          <w:lang w:val="nl-NL"/>
        </w:rPr>
        <w:t>kỳ họp thứ 2</w:t>
      </w:r>
      <w:r w:rsidR="00F37E32" w:rsidRPr="00646628">
        <w:rPr>
          <w:sz w:val="28"/>
          <w:szCs w:val="28"/>
          <w:lang w:val="nl-NL"/>
        </w:rPr>
        <w:t>, Quốc hội khóa XV</w:t>
      </w:r>
      <w:r w:rsidR="00834021" w:rsidRPr="00646628">
        <w:rPr>
          <w:sz w:val="28"/>
          <w:szCs w:val="28"/>
          <w:lang w:val="nl-NL"/>
        </w:rPr>
        <w:t xml:space="preserve"> (nếu có)</w:t>
      </w:r>
      <w:r w:rsidRPr="00646628">
        <w:rPr>
          <w:sz w:val="28"/>
          <w:szCs w:val="28"/>
          <w:lang w:val="nl-NL"/>
        </w:rPr>
        <w:t>.</w:t>
      </w:r>
    </w:p>
    <w:p w:rsidR="00D852DF" w:rsidRPr="00646628" w:rsidRDefault="00D852DF" w:rsidP="00EA07B8">
      <w:pPr>
        <w:widowControl w:val="0"/>
        <w:spacing w:before="120" w:line="320" w:lineRule="exact"/>
        <w:ind w:firstLine="720"/>
        <w:jc w:val="both"/>
        <w:rPr>
          <w:sz w:val="28"/>
          <w:szCs w:val="28"/>
          <w:lang w:val="nl-NL"/>
        </w:rPr>
      </w:pPr>
      <w:r w:rsidRPr="00646628">
        <w:rPr>
          <w:b/>
          <w:sz w:val="28"/>
          <w:szCs w:val="28"/>
          <w:lang w:val="nl-NL"/>
        </w:rPr>
        <w:t>III.</w:t>
      </w:r>
      <w:r w:rsidR="007C126D" w:rsidRPr="00646628">
        <w:rPr>
          <w:b/>
          <w:sz w:val="28"/>
          <w:szCs w:val="28"/>
          <w:lang w:val="nl-NL"/>
        </w:rPr>
        <w:t>Các b</w:t>
      </w:r>
      <w:r w:rsidRPr="00646628">
        <w:rPr>
          <w:b/>
          <w:sz w:val="28"/>
          <w:szCs w:val="28"/>
          <w:lang w:val="nl-NL"/>
        </w:rPr>
        <w:t>áo cáo gửi đại biểu tự nghiên c</w:t>
      </w:r>
      <w:r w:rsidR="00AB3548" w:rsidRPr="00646628">
        <w:rPr>
          <w:b/>
          <w:sz w:val="28"/>
          <w:szCs w:val="28"/>
          <w:lang w:val="nl-NL"/>
        </w:rPr>
        <w:t>ứ</w:t>
      </w:r>
      <w:r w:rsidRPr="00646628">
        <w:rPr>
          <w:b/>
          <w:sz w:val="28"/>
          <w:szCs w:val="28"/>
          <w:lang w:val="nl-NL"/>
        </w:rPr>
        <w:t>u</w:t>
      </w:r>
    </w:p>
    <w:p w:rsidR="0099575A" w:rsidRPr="00646628" w:rsidRDefault="009B46EF" w:rsidP="00EA07B8">
      <w:pPr>
        <w:widowControl w:val="0"/>
        <w:spacing w:before="120" w:line="320" w:lineRule="exact"/>
        <w:ind w:firstLine="720"/>
        <w:jc w:val="both"/>
        <w:rPr>
          <w:sz w:val="28"/>
          <w:szCs w:val="28"/>
          <w:lang w:val="nl-NL"/>
        </w:rPr>
      </w:pPr>
      <w:r w:rsidRPr="00646628">
        <w:rPr>
          <w:b/>
          <w:sz w:val="28"/>
          <w:szCs w:val="28"/>
          <w:lang w:val="nl-NL"/>
        </w:rPr>
        <w:t>-</w:t>
      </w:r>
      <w:r w:rsidR="0099575A" w:rsidRPr="00646628">
        <w:rPr>
          <w:sz w:val="28"/>
          <w:szCs w:val="28"/>
          <w:lang w:val="nl-NL"/>
        </w:rPr>
        <w:t xml:space="preserve"> Báo cáo công tác năm 2021 của Ủy ban Thường vụ Quốc hội, Chính phủ, Hội đồng Dân tộc, các Ủy ban của Quốc hội.</w:t>
      </w:r>
    </w:p>
    <w:p w:rsidR="0099575A" w:rsidRPr="00646628" w:rsidRDefault="009B46EF" w:rsidP="00EA07B8">
      <w:pPr>
        <w:widowControl w:val="0"/>
        <w:spacing w:before="120" w:line="320" w:lineRule="exact"/>
        <w:ind w:firstLine="720"/>
        <w:jc w:val="both"/>
        <w:rPr>
          <w:sz w:val="28"/>
          <w:szCs w:val="28"/>
          <w:lang w:val="nl-NL"/>
        </w:rPr>
      </w:pPr>
      <w:r w:rsidRPr="00646628">
        <w:rPr>
          <w:sz w:val="28"/>
          <w:szCs w:val="28"/>
          <w:lang w:val="nl-NL"/>
        </w:rPr>
        <w:t>-</w:t>
      </w:r>
      <w:r w:rsidR="0099575A" w:rsidRPr="00646628">
        <w:rPr>
          <w:sz w:val="28"/>
          <w:szCs w:val="28"/>
          <w:lang w:val="nl-NL"/>
        </w:rPr>
        <w:t xml:space="preserve"> Báo cáo về kết quả giám sát chuyên đề của Hội đồng Dân tộc, các Ủy ban của Quốc hội (nếu có).</w:t>
      </w:r>
    </w:p>
    <w:p w:rsidR="0099575A" w:rsidRPr="00646628" w:rsidRDefault="009B46EF" w:rsidP="00EA07B8">
      <w:pPr>
        <w:widowControl w:val="0"/>
        <w:spacing w:before="120" w:line="320" w:lineRule="exact"/>
        <w:ind w:firstLine="720"/>
        <w:jc w:val="both"/>
        <w:rPr>
          <w:sz w:val="28"/>
          <w:szCs w:val="28"/>
          <w:lang w:val="nl-NL"/>
        </w:rPr>
      </w:pPr>
      <w:r w:rsidRPr="00646628">
        <w:rPr>
          <w:sz w:val="28"/>
          <w:szCs w:val="28"/>
          <w:lang w:val="nl-NL"/>
        </w:rPr>
        <w:t>-</w:t>
      </w:r>
      <w:r w:rsidR="00921E21" w:rsidRPr="00646628">
        <w:rPr>
          <w:sz w:val="28"/>
          <w:szCs w:val="28"/>
          <w:lang w:val="nl-NL"/>
        </w:rPr>
        <w:t xml:space="preserve">Các báo </w:t>
      </w:r>
      <w:r w:rsidR="0099575A" w:rsidRPr="00646628">
        <w:rPr>
          <w:sz w:val="28"/>
          <w:szCs w:val="28"/>
          <w:lang w:val="nl-NL"/>
        </w:rPr>
        <w:t>cáo</w:t>
      </w:r>
      <w:r w:rsidR="00587826" w:rsidRPr="00646628">
        <w:rPr>
          <w:sz w:val="28"/>
          <w:szCs w:val="28"/>
          <w:lang w:val="nl-NL"/>
        </w:rPr>
        <w:t xml:space="preserve">của Chính phủ, Tòa án nhân dân tối </w:t>
      </w:r>
      <w:r w:rsidR="006102F7" w:rsidRPr="00646628">
        <w:rPr>
          <w:sz w:val="28"/>
          <w:szCs w:val="28"/>
          <w:lang w:val="nl-NL"/>
        </w:rPr>
        <w:t>cao</w:t>
      </w:r>
      <w:r w:rsidR="00587826" w:rsidRPr="00646628">
        <w:rPr>
          <w:sz w:val="28"/>
          <w:szCs w:val="28"/>
          <w:lang w:val="nl-NL"/>
        </w:rPr>
        <w:t xml:space="preserve">, Viện kiểm sát nhân dân tối cao </w:t>
      </w:r>
      <w:r w:rsidR="00921E21" w:rsidRPr="00646628">
        <w:rPr>
          <w:sz w:val="28"/>
          <w:szCs w:val="28"/>
          <w:lang w:val="nl-NL"/>
        </w:rPr>
        <w:t>về</w:t>
      </w:r>
      <w:r w:rsidR="0099575A" w:rsidRPr="00646628">
        <w:rPr>
          <w:sz w:val="28"/>
          <w:szCs w:val="28"/>
          <w:lang w:val="nl-NL"/>
        </w:rPr>
        <w:t xml:space="preserve"> công tác giải quyết khiếu nại, tố cáo của công dân</w:t>
      </w:r>
      <w:r w:rsidR="00587826" w:rsidRPr="00646628">
        <w:rPr>
          <w:sz w:val="28"/>
          <w:szCs w:val="28"/>
          <w:lang w:val="nl-NL"/>
        </w:rPr>
        <w:t xml:space="preserve"> năm 2021</w:t>
      </w:r>
      <w:r w:rsidR="0099575A" w:rsidRPr="00646628">
        <w:rPr>
          <w:sz w:val="28"/>
          <w:szCs w:val="28"/>
          <w:lang w:val="nl-NL"/>
        </w:rPr>
        <w:t>.</w:t>
      </w:r>
    </w:p>
    <w:p w:rsidR="0099575A" w:rsidRPr="00646628" w:rsidRDefault="009B46EF" w:rsidP="00EA07B8">
      <w:pPr>
        <w:widowControl w:val="0"/>
        <w:spacing w:before="120" w:line="320" w:lineRule="exact"/>
        <w:ind w:firstLine="720"/>
        <w:jc w:val="both"/>
        <w:rPr>
          <w:sz w:val="28"/>
          <w:szCs w:val="28"/>
          <w:lang w:val="nl-NL"/>
        </w:rPr>
      </w:pPr>
      <w:r w:rsidRPr="00646628">
        <w:rPr>
          <w:sz w:val="28"/>
          <w:szCs w:val="28"/>
          <w:lang w:val="nl-NL"/>
        </w:rPr>
        <w:t>-</w:t>
      </w:r>
      <w:r w:rsidR="0099575A" w:rsidRPr="00646628">
        <w:rPr>
          <w:sz w:val="28"/>
          <w:szCs w:val="28"/>
          <w:lang w:val="nl-NL"/>
        </w:rPr>
        <w:t xml:space="preserve">Báo cáo </w:t>
      </w:r>
      <w:r w:rsidR="00587826" w:rsidRPr="00646628">
        <w:rPr>
          <w:sz w:val="28"/>
          <w:szCs w:val="28"/>
          <w:lang w:val="nl-NL"/>
        </w:rPr>
        <w:t xml:space="preserve">của Ủy ban Thường vụ Quốc hội về </w:t>
      </w:r>
      <w:r w:rsidR="0099575A" w:rsidRPr="00646628">
        <w:rPr>
          <w:sz w:val="28"/>
          <w:szCs w:val="28"/>
          <w:lang w:val="nl-NL"/>
        </w:rPr>
        <w:t>kết quả tiếp công dân, xử lý đơn thư năm 2021 và giám sát việc giải quyết khiếu nại, tố cáo của công dân</w:t>
      </w:r>
      <w:r w:rsidR="00587826" w:rsidRPr="00646628">
        <w:rPr>
          <w:sz w:val="28"/>
          <w:szCs w:val="28"/>
          <w:lang w:val="nl-NL"/>
        </w:rPr>
        <w:t xml:space="preserve"> gửi Quốc hội</w:t>
      </w:r>
      <w:r w:rsidR="0099575A" w:rsidRPr="00646628">
        <w:rPr>
          <w:sz w:val="28"/>
          <w:szCs w:val="28"/>
          <w:lang w:val="nl-NL"/>
        </w:rPr>
        <w:t xml:space="preserve"> năm 2021.</w:t>
      </w:r>
    </w:p>
    <w:p w:rsidR="0099575A" w:rsidRPr="00646628" w:rsidRDefault="009B46EF" w:rsidP="00EA07B8">
      <w:pPr>
        <w:widowControl w:val="0"/>
        <w:spacing w:before="120" w:line="320" w:lineRule="exact"/>
        <w:ind w:firstLine="720"/>
        <w:jc w:val="both"/>
        <w:rPr>
          <w:sz w:val="28"/>
          <w:szCs w:val="28"/>
          <w:lang w:val="nl-NL"/>
        </w:rPr>
      </w:pPr>
      <w:r w:rsidRPr="00646628">
        <w:rPr>
          <w:sz w:val="28"/>
          <w:szCs w:val="28"/>
          <w:lang w:val="nl-NL"/>
        </w:rPr>
        <w:t>-</w:t>
      </w:r>
      <w:r w:rsidR="0099575A" w:rsidRPr="00646628">
        <w:rPr>
          <w:sz w:val="28"/>
          <w:szCs w:val="28"/>
          <w:lang w:val="nl-NL"/>
        </w:rPr>
        <w:t xml:space="preserve"> Báo cáo của Chánh án Tòa án nhân dân tối cao, Viện trưởng Viện kiểm sát nhân dân tối cao về việc thực hiện Nghị quyết số 67/2013/QH13 về việc tăng </w:t>
      </w:r>
      <w:r w:rsidR="0099575A" w:rsidRPr="00646628">
        <w:rPr>
          <w:sz w:val="28"/>
          <w:szCs w:val="28"/>
          <w:lang w:val="nl-NL"/>
        </w:rPr>
        <w:lastRenderedPageBreak/>
        <w:t xml:space="preserve">cường công tác triển khai thi hành luật, pháp lệnh, nghị quyết của Quốc hội, Ủy </w:t>
      </w:r>
      <w:r w:rsidR="0099575A" w:rsidRPr="00646628">
        <w:rPr>
          <w:spacing w:val="-6"/>
          <w:sz w:val="28"/>
          <w:szCs w:val="28"/>
          <w:lang w:val="nl-NL"/>
        </w:rPr>
        <w:t>ban Thường vụ Quốc hội và ban hành văn bản quy định chi tiết, hướng dẫn thi hành</w:t>
      </w:r>
      <w:r w:rsidR="0099575A" w:rsidRPr="00646628">
        <w:rPr>
          <w:sz w:val="28"/>
          <w:szCs w:val="28"/>
          <w:lang w:val="nl-NL"/>
        </w:rPr>
        <w:t>.</w:t>
      </w:r>
    </w:p>
    <w:p w:rsidR="0099575A" w:rsidRPr="00646628" w:rsidRDefault="009B46EF" w:rsidP="00EA07B8">
      <w:pPr>
        <w:widowControl w:val="0"/>
        <w:spacing w:before="120" w:line="320" w:lineRule="exact"/>
        <w:ind w:firstLine="720"/>
        <w:jc w:val="both"/>
        <w:rPr>
          <w:spacing w:val="-10"/>
          <w:sz w:val="28"/>
          <w:szCs w:val="28"/>
          <w:lang w:val="nl-NL"/>
        </w:rPr>
      </w:pPr>
      <w:r w:rsidRPr="00646628">
        <w:rPr>
          <w:spacing w:val="-10"/>
          <w:sz w:val="28"/>
          <w:szCs w:val="28"/>
          <w:lang w:val="nl-NL"/>
        </w:rPr>
        <w:t>-</w:t>
      </w:r>
      <w:r w:rsidR="0099575A" w:rsidRPr="00646628">
        <w:rPr>
          <w:spacing w:val="-10"/>
          <w:sz w:val="28"/>
          <w:szCs w:val="28"/>
          <w:lang w:val="nl-NL"/>
        </w:rPr>
        <w:t xml:space="preserve"> Báo cáo kết quả giám sát của Ủy ban Trung ương Mặt trận Tổ quốc Việt Nam</w:t>
      </w:r>
      <w:r w:rsidR="0099575A" w:rsidRPr="00646628">
        <w:rPr>
          <w:rStyle w:val="FootnoteReference"/>
          <w:sz w:val="28"/>
          <w:szCs w:val="28"/>
        </w:rPr>
        <w:footnoteReference w:id="3"/>
      </w:r>
      <w:r w:rsidR="0099575A" w:rsidRPr="00646628">
        <w:rPr>
          <w:spacing w:val="-10"/>
          <w:sz w:val="28"/>
          <w:szCs w:val="28"/>
          <w:lang w:val="nl-NL"/>
        </w:rPr>
        <w:t>.</w:t>
      </w:r>
    </w:p>
    <w:p w:rsidR="0099575A" w:rsidRPr="00646628" w:rsidRDefault="009B46EF" w:rsidP="00EA07B8">
      <w:pPr>
        <w:widowControl w:val="0"/>
        <w:spacing w:before="120" w:line="320" w:lineRule="exact"/>
        <w:ind w:firstLine="720"/>
        <w:jc w:val="both"/>
        <w:rPr>
          <w:sz w:val="28"/>
          <w:szCs w:val="28"/>
          <w:lang w:val="nl-NL"/>
        </w:rPr>
      </w:pPr>
      <w:r w:rsidRPr="00646628">
        <w:rPr>
          <w:sz w:val="28"/>
          <w:szCs w:val="28"/>
          <w:lang w:val="nl-NL"/>
        </w:rPr>
        <w:t>-</w:t>
      </w:r>
      <w:r w:rsidR="0099575A" w:rsidRPr="00646628">
        <w:rPr>
          <w:sz w:val="28"/>
          <w:szCs w:val="28"/>
          <w:lang w:val="nl-NL"/>
        </w:rPr>
        <w:t xml:space="preserve"> Báo cáo của Chính phủ, Tòa án nhân dân tối cao, Viện kiểm sát nhân dân tối cao về kết quả thực hiện Nghị quyết số 134/2020/QH14 về tiếp tục thực hiện các nghị quyết của Quốc hội về giám sát chuyên đề, chất vấn trong nhiệm kỳ khóa XIV và một số nghị quyết trong nhiệm kỳ khóa XIII.</w:t>
      </w:r>
    </w:p>
    <w:p w:rsidR="0099575A" w:rsidRPr="00646628" w:rsidRDefault="009B46EF" w:rsidP="00EA07B8">
      <w:pPr>
        <w:widowControl w:val="0"/>
        <w:spacing w:before="120" w:line="320" w:lineRule="exact"/>
        <w:ind w:firstLine="720"/>
        <w:jc w:val="both"/>
        <w:rPr>
          <w:sz w:val="28"/>
          <w:szCs w:val="28"/>
          <w:lang w:val="nl-NL"/>
        </w:rPr>
      </w:pPr>
      <w:r w:rsidRPr="00646628">
        <w:rPr>
          <w:sz w:val="28"/>
          <w:szCs w:val="28"/>
          <w:lang w:val="nl-NL"/>
        </w:rPr>
        <w:t>-</w:t>
      </w:r>
      <w:r w:rsidR="0099575A" w:rsidRPr="00646628">
        <w:rPr>
          <w:sz w:val="28"/>
          <w:szCs w:val="28"/>
          <w:lang w:val="nl-NL"/>
        </w:rPr>
        <w:t xml:space="preserve"> Các báo cáo của Chính phủ về:</w:t>
      </w:r>
    </w:p>
    <w:p w:rsidR="0099575A" w:rsidRPr="00646628" w:rsidRDefault="0099575A" w:rsidP="00EA07B8">
      <w:pPr>
        <w:widowControl w:val="0"/>
        <w:spacing w:before="120" w:line="340" w:lineRule="exact"/>
        <w:ind w:firstLine="1418"/>
        <w:jc w:val="both"/>
        <w:rPr>
          <w:sz w:val="28"/>
          <w:szCs w:val="28"/>
          <w:lang w:val="nl-NL"/>
        </w:rPr>
      </w:pPr>
      <w:r w:rsidRPr="00646628">
        <w:rPr>
          <w:sz w:val="28"/>
          <w:szCs w:val="28"/>
          <w:lang w:val="nl-NL"/>
        </w:rPr>
        <w:t>+ Tình hình thi hành Hiến pháp, luật, nghị quyết của Quốc hội</w:t>
      </w:r>
      <w:r w:rsidR="004814EA" w:rsidRPr="00646628">
        <w:rPr>
          <w:sz w:val="28"/>
          <w:szCs w:val="28"/>
          <w:lang w:val="nl-NL"/>
        </w:rPr>
        <w:t>.</w:t>
      </w:r>
    </w:p>
    <w:p w:rsidR="0099575A" w:rsidRPr="00646628" w:rsidRDefault="0099575A" w:rsidP="00EA07B8">
      <w:pPr>
        <w:widowControl w:val="0"/>
        <w:spacing w:before="120" w:line="320" w:lineRule="exact"/>
        <w:ind w:firstLine="1440"/>
        <w:jc w:val="both"/>
        <w:rPr>
          <w:sz w:val="28"/>
          <w:szCs w:val="28"/>
          <w:lang w:val="nl-NL"/>
        </w:rPr>
      </w:pPr>
      <w:r w:rsidRPr="00646628">
        <w:rPr>
          <w:sz w:val="28"/>
          <w:szCs w:val="28"/>
          <w:lang w:val="nl-NL"/>
        </w:rPr>
        <w:t>+ Tình hình nợ công năm 2021 và dự kiến năm 2022</w:t>
      </w:r>
      <w:r w:rsidRPr="00646628">
        <w:rPr>
          <w:rStyle w:val="FootnoteReference"/>
          <w:sz w:val="28"/>
          <w:szCs w:val="28"/>
        </w:rPr>
        <w:footnoteReference w:id="4"/>
      </w:r>
      <w:r w:rsidRPr="00646628">
        <w:rPr>
          <w:sz w:val="28"/>
          <w:szCs w:val="28"/>
          <w:lang w:val="nl-NL"/>
        </w:rPr>
        <w:t>.</w:t>
      </w:r>
    </w:p>
    <w:p w:rsidR="0099575A" w:rsidRPr="00646628" w:rsidRDefault="0099575A" w:rsidP="00EA07B8">
      <w:pPr>
        <w:widowControl w:val="0"/>
        <w:spacing w:before="120" w:line="320" w:lineRule="exact"/>
        <w:ind w:left="720" w:firstLine="720"/>
        <w:jc w:val="both"/>
        <w:rPr>
          <w:sz w:val="28"/>
          <w:szCs w:val="28"/>
          <w:lang w:val="nl-NL"/>
        </w:rPr>
      </w:pPr>
      <w:r w:rsidRPr="00646628">
        <w:rPr>
          <w:sz w:val="28"/>
          <w:szCs w:val="28"/>
          <w:lang w:val="nl-NL"/>
        </w:rPr>
        <w:t>+ Hoạt động tương trợ tư pháp</w:t>
      </w:r>
      <w:r w:rsidRPr="00646628">
        <w:rPr>
          <w:rStyle w:val="FootnoteReference"/>
          <w:sz w:val="28"/>
          <w:szCs w:val="28"/>
        </w:rPr>
        <w:footnoteReference w:id="5"/>
      </w:r>
      <w:r w:rsidRPr="00646628">
        <w:rPr>
          <w:sz w:val="28"/>
          <w:szCs w:val="28"/>
          <w:lang w:val="nl-NL"/>
        </w:rPr>
        <w:t>.</w:t>
      </w:r>
    </w:p>
    <w:p w:rsidR="0099575A" w:rsidRPr="00646628" w:rsidRDefault="0099575A" w:rsidP="00EA07B8">
      <w:pPr>
        <w:widowControl w:val="0"/>
        <w:spacing w:before="120" w:line="320" w:lineRule="exact"/>
        <w:ind w:firstLine="1440"/>
        <w:jc w:val="both"/>
        <w:rPr>
          <w:sz w:val="28"/>
          <w:szCs w:val="28"/>
          <w:lang w:val="nl-NL"/>
        </w:rPr>
      </w:pPr>
      <w:r w:rsidRPr="00646628">
        <w:rPr>
          <w:sz w:val="28"/>
          <w:szCs w:val="28"/>
          <w:lang w:val="it-IT"/>
        </w:rPr>
        <w:t xml:space="preserve">+ Việc </w:t>
      </w:r>
      <w:r w:rsidR="00FA1BFD" w:rsidRPr="00646628">
        <w:rPr>
          <w:sz w:val="28"/>
          <w:szCs w:val="28"/>
          <w:lang w:val="nl-NL" w:bidi="he-IL"/>
        </w:rPr>
        <w:t>thực hiện mục tiêu của Chiến lược quốc gia về bình đẳng giới 06 tháng đầu năm 2021</w:t>
      </w:r>
      <w:r w:rsidRPr="00646628">
        <w:rPr>
          <w:rStyle w:val="FootnoteReference"/>
          <w:sz w:val="28"/>
          <w:szCs w:val="28"/>
          <w:lang w:val="it-IT"/>
        </w:rPr>
        <w:footnoteReference w:id="6"/>
      </w:r>
      <w:r w:rsidRPr="00646628">
        <w:rPr>
          <w:sz w:val="28"/>
          <w:szCs w:val="28"/>
          <w:lang w:val="nl-NL"/>
        </w:rPr>
        <w:t>.</w:t>
      </w:r>
    </w:p>
    <w:p w:rsidR="00266C40" w:rsidRPr="00646628" w:rsidRDefault="00266C40" w:rsidP="00266C40">
      <w:pPr>
        <w:widowControl w:val="0"/>
        <w:spacing w:before="120" w:line="320" w:lineRule="exact"/>
        <w:ind w:firstLine="1418"/>
        <w:jc w:val="both"/>
        <w:rPr>
          <w:sz w:val="28"/>
          <w:szCs w:val="28"/>
          <w:lang w:val="nl-NL"/>
        </w:rPr>
      </w:pPr>
      <w:r w:rsidRPr="00646628">
        <w:rPr>
          <w:sz w:val="28"/>
          <w:szCs w:val="28"/>
          <w:lang w:val="nl-NL"/>
        </w:rPr>
        <w:t>+ Kết quả công tác tổ chức tiếp công dân</w:t>
      </w:r>
      <w:r w:rsidRPr="00646628">
        <w:rPr>
          <w:rStyle w:val="FootnoteReference"/>
          <w:sz w:val="28"/>
          <w:szCs w:val="28"/>
          <w:lang w:val="nl-NL"/>
        </w:rPr>
        <w:footnoteReference w:id="7"/>
      </w:r>
      <w:r w:rsidRPr="00646628">
        <w:rPr>
          <w:sz w:val="28"/>
          <w:szCs w:val="28"/>
          <w:lang w:val="nl-NL"/>
        </w:rPr>
        <w:t>.</w:t>
      </w:r>
    </w:p>
    <w:p w:rsidR="00266C40" w:rsidRPr="00646628" w:rsidRDefault="00266C40" w:rsidP="00266C40">
      <w:pPr>
        <w:widowControl w:val="0"/>
        <w:spacing w:before="120" w:line="320" w:lineRule="exact"/>
        <w:ind w:firstLine="1440"/>
        <w:jc w:val="both"/>
        <w:rPr>
          <w:sz w:val="28"/>
          <w:szCs w:val="28"/>
          <w:lang w:val="nl-NL"/>
        </w:rPr>
      </w:pPr>
      <w:r w:rsidRPr="00646628">
        <w:rPr>
          <w:iCs/>
          <w:sz w:val="28"/>
          <w:szCs w:val="28"/>
          <w:lang w:val="nl-NL"/>
        </w:rPr>
        <w:t xml:space="preserve">+ </w:t>
      </w:r>
      <w:r w:rsidRPr="00646628">
        <w:rPr>
          <w:sz w:val="28"/>
          <w:szCs w:val="28"/>
          <w:lang w:val="nl-NL"/>
        </w:rPr>
        <w:t>Về hoạt động đầu tư, quản lý, sử dụng vốn nhà nước tại doanh nghiệp trong phạm vi toàn quốc năm 2020</w:t>
      </w:r>
      <w:r w:rsidRPr="00646628">
        <w:rPr>
          <w:rStyle w:val="FootnoteReference"/>
          <w:sz w:val="28"/>
          <w:szCs w:val="28"/>
        </w:rPr>
        <w:footnoteReference w:id="8"/>
      </w:r>
      <w:r w:rsidRPr="00646628">
        <w:rPr>
          <w:sz w:val="28"/>
          <w:szCs w:val="28"/>
          <w:lang w:val="nl-NL"/>
        </w:rPr>
        <w:t>.</w:t>
      </w:r>
    </w:p>
    <w:p w:rsidR="00266C40" w:rsidRPr="00646628" w:rsidRDefault="00266C40" w:rsidP="00266C40">
      <w:pPr>
        <w:widowControl w:val="0"/>
        <w:spacing w:before="120" w:line="320" w:lineRule="exact"/>
        <w:ind w:firstLine="1440"/>
        <w:jc w:val="both"/>
        <w:rPr>
          <w:sz w:val="28"/>
          <w:szCs w:val="28"/>
          <w:lang w:val="nl-NL"/>
        </w:rPr>
      </w:pPr>
      <w:r w:rsidRPr="00646628">
        <w:rPr>
          <w:sz w:val="28"/>
          <w:szCs w:val="28"/>
          <w:lang w:val="nl-NL"/>
        </w:rPr>
        <w:t>+ Kết quả hoạt động và việc quản lý sử dụng Quỹ phòng, chống tác hại của thuốc lá trong 02 năm 2019-2020</w:t>
      </w:r>
      <w:r w:rsidRPr="00646628">
        <w:rPr>
          <w:rStyle w:val="FootnoteReference"/>
          <w:sz w:val="28"/>
          <w:szCs w:val="28"/>
        </w:rPr>
        <w:footnoteReference w:id="9"/>
      </w:r>
      <w:r w:rsidRPr="00646628">
        <w:rPr>
          <w:sz w:val="28"/>
          <w:szCs w:val="28"/>
          <w:lang w:val="nl-NL"/>
        </w:rPr>
        <w:t>.</w:t>
      </w:r>
    </w:p>
    <w:p w:rsidR="00266C40" w:rsidRPr="00646628" w:rsidRDefault="00266C40" w:rsidP="00266C40">
      <w:pPr>
        <w:widowControl w:val="0"/>
        <w:spacing w:before="120" w:line="320" w:lineRule="exact"/>
        <w:ind w:firstLine="1440"/>
        <w:jc w:val="both"/>
        <w:rPr>
          <w:sz w:val="28"/>
          <w:szCs w:val="28"/>
          <w:lang w:val="nl-NL"/>
        </w:rPr>
      </w:pPr>
      <w:r w:rsidRPr="00646628">
        <w:rPr>
          <w:sz w:val="28"/>
          <w:szCs w:val="28"/>
          <w:lang w:val="de-DE"/>
        </w:rPr>
        <w:t xml:space="preserve">+ </w:t>
      </w:r>
      <w:r w:rsidRPr="00646628">
        <w:rPr>
          <w:sz w:val="28"/>
          <w:szCs w:val="28"/>
          <w:lang w:val="nl-NL"/>
        </w:rPr>
        <w:t>Việc thực hiện chính sách phát triển giao thông vận tải đường sắt và việc sử dụng ngân sách nhà nước đầu tư cho giao thông vận tải đường sắt</w:t>
      </w:r>
      <w:r w:rsidRPr="00646628">
        <w:rPr>
          <w:rStyle w:val="FootnoteReference"/>
          <w:sz w:val="28"/>
          <w:szCs w:val="28"/>
        </w:rPr>
        <w:footnoteReference w:id="10"/>
      </w:r>
      <w:r w:rsidRPr="00646628">
        <w:rPr>
          <w:sz w:val="28"/>
          <w:szCs w:val="28"/>
          <w:lang w:val="nl-NL"/>
        </w:rPr>
        <w:t>.</w:t>
      </w:r>
    </w:p>
    <w:p w:rsidR="00266C40" w:rsidRPr="00646628" w:rsidRDefault="00266C40" w:rsidP="00266C40">
      <w:pPr>
        <w:widowControl w:val="0"/>
        <w:spacing w:before="120" w:line="320" w:lineRule="exact"/>
        <w:ind w:firstLine="1440"/>
        <w:jc w:val="both"/>
        <w:rPr>
          <w:sz w:val="28"/>
          <w:szCs w:val="28"/>
          <w:lang w:val="nl-NL"/>
        </w:rPr>
      </w:pPr>
      <w:r w:rsidRPr="00646628">
        <w:rPr>
          <w:sz w:val="28"/>
          <w:szCs w:val="28"/>
          <w:lang w:val="nl-NL"/>
        </w:rPr>
        <w:t>+ Việc thực hiện chính sách, biện pháp để phát triển khoa học và công nghệ; việc sử dụng ngân sách nhà nước đầu tư cho khoa học và công nghệ; kết quả hoạt động khoa học và công nghệ năm 2021</w:t>
      </w:r>
      <w:r w:rsidRPr="00646628">
        <w:rPr>
          <w:rStyle w:val="FootnoteReference"/>
          <w:sz w:val="28"/>
          <w:szCs w:val="28"/>
        </w:rPr>
        <w:footnoteReference w:id="11"/>
      </w:r>
      <w:r w:rsidRPr="00646628">
        <w:rPr>
          <w:sz w:val="28"/>
          <w:szCs w:val="28"/>
          <w:lang w:val="nl-NL"/>
        </w:rPr>
        <w:t>.</w:t>
      </w:r>
    </w:p>
    <w:p w:rsidR="00666BA1" w:rsidRPr="00646628" w:rsidRDefault="00266C40" w:rsidP="002C244E">
      <w:pPr>
        <w:widowControl w:val="0"/>
        <w:spacing w:before="120" w:line="340" w:lineRule="exact"/>
        <w:ind w:firstLine="1440"/>
        <w:jc w:val="both"/>
        <w:rPr>
          <w:sz w:val="28"/>
          <w:szCs w:val="28"/>
          <w:lang w:val="nl-NL"/>
        </w:rPr>
      </w:pPr>
      <w:r w:rsidRPr="00646628">
        <w:rPr>
          <w:sz w:val="28"/>
          <w:szCs w:val="28"/>
          <w:lang w:val="nl-NL"/>
        </w:rPr>
        <w:t>+ Về hoạt động giáo dục và việc thực hiện ngân sách giáo dục</w:t>
      </w:r>
      <w:r w:rsidRPr="00646628">
        <w:rPr>
          <w:rStyle w:val="FootnoteReference"/>
          <w:sz w:val="28"/>
          <w:szCs w:val="28"/>
        </w:rPr>
        <w:footnoteReference w:id="12"/>
      </w:r>
      <w:r w:rsidRPr="00646628">
        <w:rPr>
          <w:sz w:val="28"/>
          <w:szCs w:val="28"/>
          <w:lang w:val="nl-NL"/>
        </w:rPr>
        <w:t>.</w:t>
      </w:r>
    </w:p>
    <w:p w:rsidR="0099575A" w:rsidRPr="00646628" w:rsidRDefault="0099575A" w:rsidP="00EA07B8">
      <w:pPr>
        <w:widowControl w:val="0"/>
        <w:spacing w:before="120" w:line="320" w:lineRule="exact"/>
        <w:ind w:firstLine="1440"/>
        <w:jc w:val="both"/>
        <w:rPr>
          <w:sz w:val="28"/>
          <w:szCs w:val="28"/>
          <w:lang w:val="nl-NL"/>
        </w:rPr>
      </w:pPr>
      <w:r w:rsidRPr="00646628">
        <w:rPr>
          <w:sz w:val="28"/>
          <w:szCs w:val="28"/>
          <w:lang w:val="nl-NL"/>
        </w:rPr>
        <w:t>+ Tình hình thực hiện Nghị quyết số 66/2013/QH13 về điều chỉnh một số nội dung và giải pháp nhằm tiếp tục thực hiện có hiệu quả chủ trương đầu tư xây dựng đường Hồ Chí Minh theo Nghị quyết số 38/2004/QH11.</w:t>
      </w:r>
    </w:p>
    <w:p w:rsidR="0099575A" w:rsidRPr="00646628" w:rsidRDefault="0099575A" w:rsidP="00EA07B8">
      <w:pPr>
        <w:widowControl w:val="0"/>
        <w:spacing w:before="120" w:line="320" w:lineRule="exact"/>
        <w:ind w:firstLine="1440"/>
        <w:jc w:val="both"/>
        <w:rPr>
          <w:rFonts w:ascii="Arial" w:hAnsi="Arial" w:cs="Arial"/>
          <w:sz w:val="18"/>
          <w:szCs w:val="18"/>
          <w:shd w:val="clear" w:color="auto" w:fill="FFFFFF"/>
          <w:lang w:val="nl-NL"/>
        </w:rPr>
      </w:pPr>
      <w:r w:rsidRPr="00646628">
        <w:rPr>
          <w:iCs/>
          <w:sz w:val="28"/>
          <w:szCs w:val="28"/>
          <w:lang w:val="nl-NL"/>
        </w:rPr>
        <w:t xml:space="preserve">+ Tình hình thực hiện Dự án Cảng hàng không quốc tế Long Thành </w:t>
      </w:r>
      <w:r w:rsidRPr="00646628">
        <w:rPr>
          <w:iCs/>
          <w:sz w:val="28"/>
          <w:szCs w:val="28"/>
          <w:lang w:val="nl-NL"/>
        </w:rPr>
        <w:lastRenderedPageBreak/>
        <w:t>theo Nghị quyết số 94/2015/QH13 và Nghị quyết số 95/2019/QH14</w:t>
      </w:r>
      <w:r w:rsidRPr="00646628">
        <w:rPr>
          <w:rStyle w:val="FootnoteReference"/>
          <w:iCs/>
          <w:sz w:val="28"/>
          <w:szCs w:val="28"/>
        </w:rPr>
        <w:footnoteReference w:id="13"/>
      </w:r>
      <w:r w:rsidRPr="00646628">
        <w:rPr>
          <w:sz w:val="28"/>
          <w:szCs w:val="28"/>
          <w:lang w:val="nl-NL"/>
        </w:rPr>
        <w:t>.</w:t>
      </w:r>
    </w:p>
    <w:p w:rsidR="0099575A" w:rsidRPr="00646628" w:rsidRDefault="0099575A" w:rsidP="00741D9A">
      <w:pPr>
        <w:widowControl w:val="0"/>
        <w:spacing w:before="120" w:line="320" w:lineRule="exact"/>
        <w:ind w:firstLine="1440"/>
        <w:jc w:val="both"/>
        <w:rPr>
          <w:sz w:val="28"/>
          <w:szCs w:val="28"/>
          <w:lang w:val="nl-NL"/>
        </w:rPr>
      </w:pPr>
      <w:r w:rsidRPr="00646628">
        <w:rPr>
          <w:sz w:val="28"/>
          <w:szCs w:val="28"/>
          <w:lang w:val="nl-NL"/>
        </w:rPr>
        <w:t>+ Tình hình thực hiện Nghị quyết số 52/2017/QH14 về chủ trương đầu tư Dự án xây dựng một số đoạn đường bộ cao tốc trên tuyến Bắc - Nam phía Đông giai đoạn 2017 - 2020.</w:t>
      </w:r>
    </w:p>
    <w:p w:rsidR="0099575A" w:rsidRPr="00646628" w:rsidRDefault="0099575A" w:rsidP="00741D9A">
      <w:pPr>
        <w:widowControl w:val="0"/>
        <w:spacing w:before="120" w:line="320" w:lineRule="exact"/>
        <w:ind w:firstLine="1440"/>
        <w:jc w:val="both"/>
        <w:rPr>
          <w:sz w:val="28"/>
          <w:szCs w:val="28"/>
          <w:lang w:val="nl-NL"/>
        </w:rPr>
      </w:pPr>
      <w:r w:rsidRPr="00646628">
        <w:rPr>
          <w:sz w:val="28"/>
          <w:szCs w:val="28"/>
          <w:lang w:val="nl-NL"/>
        </w:rPr>
        <w:t>+ Kết quả xử lý nợ xấu của các tổ chức tín dụng</w:t>
      </w:r>
      <w:r w:rsidR="008E6F54" w:rsidRPr="00646628">
        <w:rPr>
          <w:sz w:val="28"/>
          <w:szCs w:val="28"/>
          <w:lang w:val="nl-NL"/>
        </w:rPr>
        <w:t xml:space="preserve"> năm 2021</w:t>
      </w:r>
      <w:r w:rsidRPr="00646628">
        <w:rPr>
          <w:rStyle w:val="FootnoteReference"/>
          <w:sz w:val="28"/>
          <w:szCs w:val="28"/>
        </w:rPr>
        <w:footnoteReference w:id="14"/>
      </w:r>
      <w:r w:rsidRPr="00646628">
        <w:rPr>
          <w:sz w:val="28"/>
          <w:szCs w:val="28"/>
          <w:lang w:val="nl-NL"/>
        </w:rPr>
        <w:t>.</w:t>
      </w:r>
    </w:p>
    <w:p w:rsidR="0099575A" w:rsidRPr="00646628" w:rsidRDefault="0099575A" w:rsidP="00741D9A">
      <w:pPr>
        <w:widowControl w:val="0"/>
        <w:spacing w:before="120" w:line="320" w:lineRule="exact"/>
        <w:ind w:firstLine="1440"/>
        <w:jc w:val="both"/>
        <w:rPr>
          <w:sz w:val="28"/>
          <w:szCs w:val="28"/>
          <w:lang w:val="nl-NL"/>
        </w:rPr>
      </w:pPr>
      <w:r w:rsidRPr="00646628">
        <w:rPr>
          <w:sz w:val="28"/>
          <w:szCs w:val="28"/>
          <w:lang w:val="nl-NL"/>
        </w:rPr>
        <w:t xml:space="preserve">+ Về kết quả </w:t>
      </w:r>
      <w:r w:rsidR="002248AA" w:rsidRPr="00646628">
        <w:rPr>
          <w:sz w:val="28"/>
          <w:szCs w:val="28"/>
          <w:lang w:val="nl-NL"/>
        </w:rPr>
        <w:t xml:space="preserve">triển khai chuẩn bị đầu tư </w:t>
      </w:r>
      <w:r w:rsidR="006835E1" w:rsidRPr="00646628">
        <w:rPr>
          <w:sz w:val="28"/>
          <w:szCs w:val="28"/>
          <w:lang w:val="nl-NL"/>
        </w:rPr>
        <w:t>C</w:t>
      </w:r>
      <w:r w:rsidRPr="00646628">
        <w:rPr>
          <w:sz w:val="28"/>
          <w:szCs w:val="28"/>
          <w:lang w:val="nl-NL"/>
        </w:rPr>
        <w:t xml:space="preserve">hương trình mục tiêu quốc gia phát triển </w:t>
      </w:r>
      <w:r w:rsidRPr="00646628">
        <w:rPr>
          <w:spacing w:val="-6"/>
          <w:sz w:val="28"/>
          <w:szCs w:val="28"/>
          <w:lang w:val="nl-NL"/>
        </w:rPr>
        <w:t>kinh tế - xã hội vùng đồng bào dân tộc thiểu số và miền núi giai đoạn 2021-2030</w:t>
      </w:r>
      <w:r w:rsidRPr="00646628">
        <w:rPr>
          <w:rStyle w:val="FootnoteReference"/>
          <w:spacing w:val="-6"/>
          <w:sz w:val="28"/>
          <w:szCs w:val="28"/>
        </w:rPr>
        <w:footnoteReference w:id="15"/>
      </w:r>
      <w:r w:rsidRPr="00646628">
        <w:rPr>
          <w:sz w:val="28"/>
          <w:szCs w:val="28"/>
          <w:lang w:val="nl-NL"/>
        </w:rPr>
        <w:t>.</w:t>
      </w:r>
    </w:p>
    <w:p w:rsidR="0099575A" w:rsidRPr="00646628" w:rsidRDefault="0099575A" w:rsidP="00741D9A">
      <w:pPr>
        <w:widowControl w:val="0"/>
        <w:spacing w:before="120" w:line="320" w:lineRule="exact"/>
        <w:ind w:firstLine="1440"/>
        <w:jc w:val="both"/>
        <w:rPr>
          <w:sz w:val="28"/>
          <w:szCs w:val="28"/>
          <w:lang w:val="nl-NL"/>
        </w:rPr>
      </w:pPr>
      <w:r w:rsidRPr="00646628">
        <w:rPr>
          <w:sz w:val="28"/>
          <w:szCs w:val="28"/>
          <w:lang w:val="nl-NL"/>
        </w:rPr>
        <w:t>+ Tình hình thực hiện Dự án hồ chứa nước Ka pét, huyện Hàm Thuận Nam, tỉnh Bình Thuận</w:t>
      </w:r>
      <w:r w:rsidRPr="00646628">
        <w:rPr>
          <w:rStyle w:val="FootnoteReference"/>
          <w:sz w:val="28"/>
          <w:szCs w:val="28"/>
        </w:rPr>
        <w:footnoteReference w:id="16"/>
      </w:r>
      <w:r w:rsidRPr="00646628">
        <w:rPr>
          <w:sz w:val="28"/>
          <w:szCs w:val="28"/>
          <w:lang w:val="nl-NL"/>
        </w:rPr>
        <w:t>.</w:t>
      </w:r>
    </w:p>
    <w:p w:rsidR="0099575A" w:rsidRPr="00646628" w:rsidRDefault="0099575A" w:rsidP="00741D9A">
      <w:pPr>
        <w:widowControl w:val="0"/>
        <w:spacing w:before="120" w:line="320" w:lineRule="exact"/>
        <w:ind w:firstLine="1440"/>
        <w:jc w:val="both"/>
        <w:rPr>
          <w:sz w:val="28"/>
          <w:szCs w:val="28"/>
          <w:lang w:val="nl-NL"/>
        </w:rPr>
      </w:pPr>
      <w:r w:rsidRPr="00646628">
        <w:rPr>
          <w:sz w:val="28"/>
          <w:szCs w:val="28"/>
          <w:lang w:val="nl-NL"/>
        </w:rPr>
        <w:t>+ Việc thực hiện Hiệp định Thương mại tự do giữa Cộng hòa xã hội chủ nghĩa Việt Nam và Liên minh Châu Âu</w:t>
      </w:r>
      <w:r w:rsidRPr="00646628">
        <w:rPr>
          <w:rStyle w:val="FootnoteReference"/>
          <w:sz w:val="28"/>
          <w:szCs w:val="28"/>
        </w:rPr>
        <w:footnoteReference w:id="17"/>
      </w:r>
      <w:r w:rsidRPr="00646628">
        <w:rPr>
          <w:sz w:val="28"/>
          <w:szCs w:val="28"/>
          <w:lang w:val="nl-NL"/>
        </w:rPr>
        <w:t>.</w:t>
      </w:r>
    </w:p>
    <w:p w:rsidR="005F37B1" w:rsidRPr="00646628" w:rsidRDefault="005F37B1" w:rsidP="005F37B1">
      <w:pPr>
        <w:widowControl w:val="0"/>
        <w:spacing w:before="120" w:line="320" w:lineRule="exact"/>
        <w:ind w:firstLine="1440"/>
        <w:jc w:val="both"/>
        <w:rPr>
          <w:sz w:val="28"/>
          <w:szCs w:val="28"/>
          <w:lang w:val="nl-NL"/>
        </w:rPr>
      </w:pPr>
      <w:r w:rsidRPr="00646628">
        <w:rPr>
          <w:sz w:val="28"/>
          <w:szCs w:val="28"/>
          <w:lang w:val="nl-NL"/>
        </w:rPr>
        <w:t>+ Kết quả thực hiện Nghị quyết số 121/2020/QH14 về tiếp tục tăng cường hiệu lực, hiệu quả việc thực hiện chính sách, pháp luật về phòng, chống xâm hại trẻ em.</w:t>
      </w:r>
    </w:p>
    <w:p w:rsidR="005F37B1" w:rsidRPr="00646628" w:rsidRDefault="005F37B1" w:rsidP="005F37B1">
      <w:pPr>
        <w:widowControl w:val="0"/>
        <w:spacing w:before="120" w:line="320" w:lineRule="exact"/>
        <w:ind w:firstLine="1440"/>
        <w:jc w:val="both"/>
        <w:rPr>
          <w:sz w:val="28"/>
          <w:szCs w:val="28"/>
          <w:lang w:val="nl-NL"/>
        </w:rPr>
      </w:pPr>
      <w:r w:rsidRPr="00646628">
        <w:rPr>
          <w:sz w:val="28"/>
          <w:szCs w:val="28"/>
          <w:lang w:val="nl-NL"/>
        </w:rPr>
        <w:t xml:space="preserve">+ Kết quả thực hiện Nghị quyết số 99/2019/QH14 về </w:t>
      </w:r>
      <w:bookmarkStart w:id="1" w:name="loai_1_name"/>
      <w:r w:rsidRPr="00646628">
        <w:rPr>
          <w:sz w:val="28"/>
          <w:szCs w:val="28"/>
          <w:lang w:val="nl-NL"/>
        </w:rPr>
        <w:t> tiếp tục hoàn thiện, nâng cao hiệu lực, hiệu quả thực hiện chính sách, pháp luật về phòng cháy và chữa cháy</w:t>
      </w:r>
      <w:bookmarkEnd w:id="1"/>
      <w:r w:rsidRPr="00646628">
        <w:rPr>
          <w:sz w:val="28"/>
          <w:szCs w:val="28"/>
          <w:lang w:val="nl-NL"/>
        </w:rPr>
        <w:t>.</w:t>
      </w:r>
    </w:p>
    <w:p w:rsidR="00FB2075" w:rsidRPr="00646628" w:rsidRDefault="00FB2075" w:rsidP="00741D9A">
      <w:pPr>
        <w:widowControl w:val="0"/>
        <w:spacing w:before="120" w:line="320" w:lineRule="exact"/>
        <w:ind w:firstLine="1440"/>
        <w:jc w:val="both"/>
        <w:rPr>
          <w:sz w:val="28"/>
          <w:szCs w:val="28"/>
          <w:u w:val="single"/>
          <w:lang w:val="nl-NL"/>
        </w:rPr>
      </w:pPr>
      <w:r w:rsidRPr="00646628">
        <w:rPr>
          <w:sz w:val="28"/>
          <w:szCs w:val="28"/>
          <w:lang w:val="nl-NL"/>
        </w:rPr>
        <w:t xml:space="preserve">+ Việc triển khai và kết quả thực hiện các nghị quyết của Quốc hội thí điểm thực hiện các cơ chế, chính sách đặc thù đối với </w:t>
      </w:r>
      <w:r w:rsidR="00F868F2" w:rsidRPr="00646628">
        <w:rPr>
          <w:sz w:val="28"/>
          <w:szCs w:val="28"/>
          <w:lang w:val="nl-NL"/>
        </w:rPr>
        <w:t>thành phố Hà Nội, Thành phố Hồ Chí Minh và thành phố Đà Nẵng</w:t>
      </w:r>
      <w:r w:rsidRPr="00646628">
        <w:rPr>
          <w:sz w:val="28"/>
          <w:szCs w:val="28"/>
          <w:lang w:val="nl-NL"/>
        </w:rPr>
        <w:t>.</w:t>
      </w:r>
    </w:p>
    <w:p w:rsidR="002E7F54" w:rsidRPr="00646628" w:rsidRDefault="002E7F54" w:rsidP="002E7F54">
      <w:pPr>
        <w:widowControl w:val="0"/>
        <w:spacing w:before="120" w:line="320" w:lineRule="exact"/>
        <w:ind w:left="720" w:firstLine="720"/>
        <w:jc w:val="both"/>
        <w:rPr>
          <w:sz w:val="28"/>
          <w:szCs w:val="28"/>
          <w:lang w:val="nl-NL"/>
        </w:rPr>
      </w:pPr>
      <w:r w:rsidRPr="00646628">
        <w:rPr>
          <w:sz w:val="28"/>
          <w:szCs w:val="28"/>
          <w:lang w:val="nl-NL"/>
        </w:rPr>
        <w:t>+ Tình hình quốc phòng năm 2021.</w:t>
      </w:r>
    </w:p>
    <w:p w:rsidR="002E7F54" w:rsidRPr="00646628" w:rsidRDefault="002E7F54" w:rsidP="002E7F54">
      <w:pPr>
        <w:widowControl w:val="0"/>
        <w:spacing w:before="120" w:line="320" w:lineRule="exact"/>
        <w:ind w:left="720" w:firstLine="720"/>
        <w:jc w:val="both"/>
        <w:rPr>
          <w:sz w:val="28"/>
          <w:szCs w:val="28"/>
          <w:lang w:val="nl-NL"/>
        </w:rPr>
      </w:pPr>
      <w:r w:rsidRPr="00646628">
        <w:rPr>
          <w:sz w:val="28"/>
          <w:szCs w:val="28"/>
          <w:lang w:val="nl-NL"/>
        </w:rPr>
        <w:t>+ Tình hình an ninh chính trị, trật tự xã hội năm 2021.</w:t>
      </w:r>
    </w:p>
    <w:p w:rsidR="002E7F54" w:rsidRPr="00646628" w:rsidRDefault="002E7F54" w:rsidP="002E7F54">
      <w:pPr>
        <w:widowControl w:val="0"/>
        <w:spacing w:before="120" w:line="320" w:lineRule="exact"/>
        <w:ind w:left="720" w:firstLine="720"/>
        <w:jc w:val="both"/>
        <w:rPr>
          <w:sz w:val="28"/>
          <w:szCs w:val="28"/>
          <w:lang w:val="nl-NL"/>
        </w:rPr>
      </w:pPr>
      <w:r w:rsidRPr="00646628">
        <w:rPr>
          <w:sz w:val="28"/>
          <w:szCs w:val="28"/>
          <w:lang w:val="nl-NL"/>
        </w:rPr>
        <w:t>+ Công tác đối ngoại của Nhà nước năm 2021.</w:t>
      </w:r>
    </w:p>
    <w:p w:rsidR="002E7F54" w:rsidRPr="00646628" w:rsidRDefault="002E7F54" w:rsidP="002E7F54">
      <w:pPr>
        <w:widowControl w:val="0"/>
        <w:spacing w:before="120" w:line="320" w:lineRule="exact"/>
        <w:ind w:left="720" w:firstLine="720"/>
        <w:jc w:val="both"/>
        <w:rPr>
          <w:sz w:val="28"/>
          <w:szCs w:val="28"/>
          <w:lang w:val="nl-NL"/>
        </w:rPr>
      </w:pPr>
      <w:r w:rsidRPr="00646628">
        <w:rPr>
          <w:sz w:val="28"/>
          <w:szCs w:val="28"/>
          <w:lang w:val="nl-NL"/>
        </w:rPr>
        <w:t>+ Tình hình trật tự an toàn giao thông năm 2021.</w:t>
      </w:r>
    </w:p>
    <w:p w:rsidR="005F37B1" w:rsidRPr="00646628" w:rsidRDefault="005F37B1" w:rsidP="005F37B1">
      <w:pPr>
        <w:widowControl w:val="0"/>
        <w:spacing w:before="120" w:line="320" w:lineRule="exact"/>
        <w:ind w:left="720" w:firstLine="720"/>
        <w:jc w:val="both"/>
        <w:rPr>
          <w:sz w:val="28"/>
          <w:szCs w:val="28"/>
          <w:lang w:val="nl-NL"/>
        </w:rPr>
      </w:pPr>
      <w:r w:rsidRPr="00646628">
        <w:rPr>
          <w:sz w:val="28"/>
          <w:szCs w:val="28"/>
          <w:lang w:val="nl-NL"/>
        </w:rPr>
        <w:t>+ Hiệp định Đối tác kinh tế toàn diện khu vực (RCEP).</w:t>
      </w:r>
    </w:p>
    <w:p w:rsidR="00EE0DE8" w:rsidRPr="00646628" w:rsidRDefault="00EE0DE8" w:rsidP="00741D9A">
      <w:pPr>
        <w:widowControl w:val="0"/>
        <w:spacing w:before="120" w:line="320" w:lineRule="exact"/>
        <w:ind w:firstLine="1440"/>
        <w:jc w:val="both"/>
        <w:rPr>
          <w:sz w:val="28"/>
          <w:szCs w:val="28"/>
          <w:u w:val="single"/>
          <w:lang w:val="nl-NL"/>
        </w:rPr>
      </w:pPr>
      <w:r w:rsidRPr="00646628">
        <w:rPr>
          <w:sz w:val="28"/>
          <w:szCs w:val="28"/>
          <w:lang w:val="nl-NL"/>
        </w:rPr>
        <w:t>+ Tình hình và kết quả xử lý tồn tại, yếu kém của các dự án,doanh nghiệp chậm tiến độ, kém hiệu quả thuộc ngành Công Thương.</w:t>
      </w:r>
    </w:p>
    <w:p w:rsidR="0099575A" w:rsidRPr="00646628" w:rsidRDefault="009B46EF" w:rsidP="00741D9A">
      <w:pPr>
        <w:widowControl w:val="0"/>
        <w:spacing w:before="120" w:line="320" w:lineRule="exact"/>
        <w:ind w:firstLine="720"/>
        <w:jc w:val="both"/>
        <w:rPr>
          <w:sz w:val="28"/>
          <w:szCs w:val="28"/>
          <w:lang w:val="nl-NL"/>
        </w:rPr>
      </w:pPr>
      <w:r w:rsidRPr="00646628">
        <w:rPr>
          <w:sz w:val="28"/>
          <w:szCs w:val="28"/>
          <w:lang w:val="nl-NL"/>
        </w:rPr>
        <w:t>-</w:t>
      </w:r>
      <w:r w:rsidR="0099575A" w:rsidRPr="00646628">
        <w:rPr>
          <w:sz w:val="28"/>
          <w:szCs w:val="28"/>
          <w:lang w:val="nl-NL"/>
        </w:rPr>
        <w:t xml:space="preserve"> Báo cáo của Kiểm toán Nhà nước v</w:t>
      </w:r>
      <w:r w:rsidR="007C6E0B" w:rsidRPr="00646628">
        <w:rPr>
          <w:sz w:val="28"/>
          <w:szCs w:val="28"/>
          <w:lang w:val="nl-NL"/>
        </w:rPr>
        <w:t>ề</w:t>
      </w:r>
      <w:r w:rsidR="0099575A" w:rsidRPr="00646628">
        <w:rPr>
          <w:sz w:val="28"/>
          <w:szCs w:val="28"/>
          <w:lang w:val="nl-NL"/>
        </w:rPr>
        <w:t>:</w:t>
      </w:r>
    </w:p>
    <w:p w:rsidR="0099575A" w:rsidRPr="00646628" w:rsidRDefault="0099575A" w:rsidP="00741D9A">
      <w:pPr>
        <w:widowControl w:val="0"/>
        <w:spacing w:before="120" w:line="320" w:lineRule="exact"/>
        <w:ind w:firstLine="1440"/>
        <w:jc w:val="both"/>
        <w:rPr>
          <w:sz w:val="28"/>
          <w:szCs w:val="28"/>
          <w:lang w:val="nl-NL"/>
        </w:rPr>
      </w:pPr>
      <w:r w:rsidRPr="00646628">
        <w:rPr>
          <w:sz w:val="28"/>
          <w:szCs w:val="28"/>
          <w:lang w:val="nl-NL"/>
        </w:rPr>
        <w:t>+ Báo cáo công tác năm 2021.</w:t>
      </w:r>
    </w:p>
    <w:p w:rsidR="0099575A" w:rsidRPr="00646628" w:rsidRDefault="0099575A" w:rsidP="00741D9A">
      <w:pPr>
        <w:widowControl w:val="0"/>
        <w:spacing w:before="120" w:line="320" w:lineRule="exact"/>
        <w:ind w:left="720" w:firstLine="720"/>
        <w:jc w:val="both"/>
        <w:rPr>
          <w:sz w:val="28"/>
          <w:szCs w:val="28"/>
          <w:lang w:val="nl-NL"/>
        </w:rPr>
      </w:pPr>
      <w:r w:rsidRPr="00646628">
        <w:rPr>
          <w:sz w:val="28"/>
          <w:szCs w:val="28"/>
          <w:lang w:val="nl-NL"/>
        </w:rPr>
        <w:lastRenderedPageBreak/>
        <w:t xml:space="preserve">+ </w:t>
      </w:r>
      <w:r w:rsidR="00E15131" w:rsidRPr="00646628">
        <w:rPr>
          <w:sz w:val="28"/>
          <w:szCs w:val="28"/>
          <w:lang w:val="nl-NL"/>
        </w:rPr>
        <w:t>Dự kiến k</w:t>
      </w:r>
      <w:r w:rsidRPr="00646628">
        <w:rPr>
          <w:sz w:val="28"/>
          <w:szCs w:val="28"/>
          <w:lang w:val="nl-NL"/>
        </w:rPr>
        <w:t>ế hoạch kiểm toán năm 2022</w:t>
      </w:r>
      <w:r w:rsidRPr="00646628">
        <w:rPr>
          <w:rStyle w:val="FootnoteReference"/>
          <w:sz w:val="28"/>
          <w:szCs w:val="28"/>
        </w:rPr>
        <w:footnoteReference w:id="18"/>
      </w:r>
      <w:r w:rsidRPr="00646628">
        <w:rPr>
          <w:sz w:val="28"/>
          <w:szCs w:val="28"/>
          <w:lang w:val="nl-NL"/>
        </w:rPr>
        <w:t>.</w:t>
      </w:r>
    </w:p>
    <w:p w:rsidR="00626183" w:rsidRPr="00646628" w:rsidRDefault="0099575A" w:rsidP="00741D9A">
      <w:pPr>
        <w:widowControl w:val="0"/>
        <w:spacing w:before="120" w:line="320" w:lineRule="exact"/>
        <w:ind w:firstLine="1440"/>
        <w:jc w:val="both"/>
        <w:rPr>
          <w:iCs/>
          <w:sz w:val="28"/>
          <w:szCs w:val="28"/>
          <w:lang w:val="nl-NL"/>
        </w:rPr>
      </w:pPr>
      <w:r w:rsidRPr="00646628">
        <w:rPr>
          <w:sz w:val="28"/>
          <w:szCs w:val="28"/>
          <w:lang w:val="nl-NL"/>
        </w:rPr>
        <w:t>+</w:t>
      </w:r>
      <w:r w:rsidR="001A35E7" w:rsidRPr="00646628">
        <w:rPr>
          <w:sz w:val="28"/>
          <w:szCs w:val="28"/>
          <w:lang w:val="nl-NL"/>
        </w:rPr>
        <w:t>Tham gia ý kiến đối với các Báo cáo</w:t>
      </w:r>
      <w:r w:rsidR="00877B9A" w:rsidRPr="00646628">
        <w:rPr>
          <w:sz w:val="28"/>
          <w:szCs w:val="28"/>
          <w:lang w:val="nl-NL"/>
        </w:rPr>
        <w:t xml:space="preserve"> d</w:t>
      </w:r>
      <w:r w:rsidRPr="00646628">
        <w:rPr>
          <w:sz w:val="28"/>
          <w:szCs w:val="28"/>
          <w:lang w:val="nl-NL"/>
        </w:rPr>
        <w:t xml:space="preserve">ự toán ngân sách nhà nước, phương án phân bổ ngân sách trung </w:t>
      </w:r>
      <w:r w:rsidRPr="00646628">
        <w:rPr>
          <w:rFonts w:hint="eastAsia"/>
          <w:sz w:val="28"/>
          <w:szCs w:val="28"/>
          <w:lang w:val="nl-NL"/>
        </w:rPr>
        <w:t>ươ</w:t>
      </w:r>
      <w:r w:rsidRPr="00646628">
        <w:rPr>
          <w:sz w:val="28"/>
          <w:szCs w:val="28"/>
          <w:lang w:val="nl-NL"/>
        </w:rPr>
        <w:t>ng n</w:t>
      </w:r>
      <w:r w:rsidRPr="00646628">
        <w:rPr>
          <w:rFonts w:hint="eastAsia"/>
          <w:sz w:val="28"/>
          <w:szCs w:val="28"/>
          <w:lang w:val="nl-NL"/>
        </w:rPr>
        <w:t>ă</w:t>
      </w:r>
      <w:r w:rsidRPr="00646628">
        <w:rPr>
          <w:sz w:val="28"/>
          <w:szCs w:val="28"/>
          <w:lang w:val="nl-NL"/>
        </w:rPr>
        <w:t xml:space="preserve">m </w:t>
      </w:r>
      <w:r w:rsidR="00877B9A" w:rsidRPr="00646628">
        <w:rPr>
          <w:sz w:val="28"/>
          <w:szCs w:val="28"/>
          <w:lang w:val="nl-NL"/>
        </w:rPr>
        <w:t>2022</w:t>
      </w:r>
      <w:r w:rsidRPr="00646628">
        <w:rPr>
          <w:i/>
          <w:sz w:val="28"/>
          <w:szCs w:val="28"/>
          <w:lang w:val="nl-NL"/>
        </w:rPr>
        <w:t>./.</w:t>
      </w:r>
    </w:p>
    <w:sectPr w:rsidR="00626183" w:rsidRPr="00646628" w:rsidSect="00F66D69">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8E7" w:rsidRDefault="005E28E7" w:rsidP="0099575A">
      <w:r>
        <w:separator/>
      </w:r>
    </w:p>
  </w:endnote>
  <w:endnote w:type="continuationSeparator" w:id="1">
    <w:p w:rsidR="005E28E7" w:rsidRDefault="005E28E7" w:rsidP="009957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64577"/>
      <w:docPartObj>
        <w:docPartGallery w:val="Page Numbers (Bottom of Page)"/>
        <w:docPartUnique/>
      </w:docPartObj>
    </w:sdtPr>
    <w:sdtEndPr>
      <w:rPr>
        <w:noProof/>
      </w:rPr>
    </w:sdtEndPr>
    <w:sdtContent>
      <w:p w:rsidR="00D4610A" w:rsidRDefault="000D10D5">
        <w:pPr>
          <w:pStyle w:val="Footer"/>
          <w:jc w:val="center"/>
        </w:pPr>
        <w:r>
          <w:fldChar w:fldCharType="begin"/>
        </w:r>
        <w:r w:rsidR="00D4610A">
          <w:instrText xml:space="preserve"> PAGE   \* MERGEFORMAT </w:instrText>
        </w:r>
        <w:r>
          <w:fldChar w:fldCharType="separate"/>
        </w:r>
        <w:r w:rsidR="000B722C">
          <w:rPr>
            <w:noProof/>
          </w:rPr>
          <w:t>1</w:t>
        </w:r>
        <w:r>
          <w:rPr>
            <w:noProof/>
          </w:rPr>
          <w:fldChar w:fldCharType="end"/>
        </w:r>
      </w:p>
    </w:sdtContent>
  </w:sdt>
  <w:p w:rsidR="00D4610A" w:rsidRDefault="00D461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8E7" w:rsidRDefault="005E28E7" w:rsidP="0099575A">
      <w:r>
        <w:separator/>
      </w:r>
    </w:p>
  </w:footnote>
  <w:footnote w:type="continuationSeparator" w:id="1">
    <w:p w:rsidR="005E28E7" w:rsidRDefault="005E28E7" w:rsidP="0099575A">
      <w:r>
        <w:continuationSeparator/>
      </w:r>
    </w:p>
  </w:footnote>
  <w:footnote w:id="2">
    <w:p w:rsidR="00D4610A" w:rsidRPr="00CA4AC4" w:rsidRDefault="00D4610A" w:rsidP="00D852DF">
      <w:pPr>
        <w:pStyle w:val="FootnoteText"/>
        <w:rPr>
          <w:spacing w:val="-4"/>
          <w:sz w:val="22"/>
          <w:szCs w:val="22"/>
          <w:lang w:val="en-GB"/>
        </w:rPr>
      </w:pPr>
      <w:r>
        <w:rPr>
          <w:rStyle w:val="FootnoteReference"/>
        </w:rPr>
        <w:footnoteRef/>
      </w:r>
      <w:r w:rsidRPr="00CA4AC4">
        <w:rPr>
          <w:spacing w:val="-4"/>
          <w:sz w:val="22"/>
          <w:szCs w:val="22"/>
        </w:rPr>
        <w:t xml:space="preserve">Trong đó có </w:t>
      </w:r>
      <w:r w:rsidR="008A0E3C">
        <w:rPr>
          <w:spacing w:val="-4"/>
          <w:sz w:val="22"/>
          <w:szCs w:val="22"/>
        </w:rPr>
        <w:t xml:space="preserve">báo cáo về </w:t>
      </w:r>
      <w:r w:rsidR="008A0E3C" w:rsidRPr="008A0E3C">
        <w:rPr>
          <w:spacing w:val="-4"/>
          <w:sz w:val="22"/>
          <w:szCs w:val="22"/>
        </w:rPr>
        <w:t>Kế hoạch tài chính - ngân sách nhà nước 03 năm 2022-2024,</w:t>
      </w:r>
      <w:r w:rsidRPr="00CA4AC4">
        <w:rPr>
          <w:spacing w:val="-4"/>
          <w:sz w:val="22"/>
          <w:szCs w:val="22"/>
          <w:lang w:val="de-DE"/>
        </w:rPr>
        <w:t>Kế hoạch đầu tư công vốn nhà nước năm 2022</w:t>
      </w:r>
      <w:r w:rsidRPr="00CA4AC4">
        <w:rPr>
          <w:spacing w:val="-4"/>
          <w:sz w:val="22"/>
          <w:szCs w:val="22"/>
        </w:rPr>
        <w:t xml:space="preserve"> (theo Điều 61 Luật Đầu tư công năm 2019)</w:t>
      </w:r>
    </w:p>
  </w:footnote>
  <w:footnote w:id="3">
    <w:p w:rsidR="00D4610A" w:rsidRPr="008301F6" w:rsidRDefault="00D4610A" w:rsidP="0099575A">
      <w:pPr>
        <w:pStyle w:val="FootnoteText"/>
        <w:tabs>
          <w:tab w:val="center" w:pos="4536"/>
        </w:tabs>
        <w:rPr>
          <w:lang w:val="vi-VN"/>
        </w:rPr>
      </w:pPr>
      <w:r w:rsidRPr="008301F6">
        <w:rPr>
          <w:rStyle w:val="FootnoteReference"/>
        </w:rPr>
        <w:footnoteRef/>
      </w:r>
      <w:r w:rsidRPr="00B3165C">
        <w:rPr>
          <w:iCs/>
          <w:lang w:val="vi-VN"/>
        </w:rPr>
        <w:t xml:space="preserve">Theo quy định tại Điều </w:t>
      </w:r>
      <w:r>
        <w:rPr>
          <w:iCs/>
        </w:rPr>
        <w:t>30</w:t>
      </w:r>
      <w:r w:rsidRPr="00B3165C">
        <w:rPr>
          <w:iCs/>
          <w:lang w:val="vi-VN"/>
        </w:rPr>
        <w:t xml:space="preserve">, </w:t>
      </w:r>
      <w:r>
        <w:rPr>
          <w:bCs/>
        </w:rPr>
        <w:t>Luật Mặt trận Tổ quốc Việt Nam</w:t>
      </w:r>
      <w:r w:rsidRPr="00B3165C">
        <w:rPr>
          <w:bCs/>
          <w:lang w:val="vi-VN"/>
        </w:rPr>
        <w:t>.</w:t>
      </w:r>
    </w:p>
  </w:footnote>
  <w:footnote w:id="4">
    <w:p w:rsidR="00D4610A" w:rsidRPr="007F30FB" w:rsidRDefault="00D4610A" w:rsidP="0099575A">
      <w:pPr>
        <w:pStyle w:val="FootnoteText"/>
        <w:rPr>
          <w:lang w:val="vi-VN"/>
        </w:rPr>
      </w:pPr>
      <w:r>
        <w:rPr>
          <w:rStyle w:val="FootnoteReference"/>
        </w:rPr>
        <w:footnoteRef/>
      </w:r>
      <w:r w:rsidRPr="007F30FB">
        <w:rPr>
          <w:lang w:val="vi-VN"/>
        </w:rPr>
        <w:t xml:space="preserve"> Theo quy định tại Điều 60, Luật Quản lý nợ công.</w:t>
      </w:r>
    </w:p>
  </w:footnote>
  <w:footnote w:id="5">
    <w:p w:rsidR="00D4610A" w:rsidRPr="007F30FB" w:rsidRDefault="00D4610A" w:rsidP="0099575A">
      <w:pPr>
        <w:pStyle w:val="FootnoteText"/>
        <w:rPr>
          <w:lang w:val="vi-VN"/>
        </w:rPr>
      </w:pPr>
      <w:r>
        <w:rPr>
          <w:rStyle w:val="FootnoteReference"/>
        </w:rPr>
        <w:footnoteRef/>
      </w:r>
      <w:r w:rsidRPr="007F30FB">
        <w:rPr>
          <w:lang w:val="vi-VN"/>
        </w:rPr>
        <w:t xml:space="preserve"> Theo quy định tại Điều 61, Luật Tương trợ tư pháp.</w:t>
      </w:r>
    </w:p>
  </w:footnote>
  <w:footnote w:id="6">
    <w:p w:rsidR="00D4610A" w:rsidRPr="007F30FB" w:rsidRDefault="00D4610A" w:rsidP="0099575A">
      <w:pPr>
        <w:pStyle w:val="FootnoteText"/>
        <w:rPr>
          <w:lang w:val="vi-VN"/>
        </w:rPr>
      </w:pPr>
      <w:r>
        <w:rPr>
          <w:rStyle w:val="FootnoteReference"/>
        </w:rPr>
        <w:footnoteRef/>
      </w:r>
      <w:r w:rsidRPr="007F30FB">
        <w:rPr>
          <w:lang w:val="vi-VN"/>
        </w:rPr>
        <w:t xml:space="preserve"> Theo quy định tại Điều 25 Luật Bình đẳng giới.</w:t>
      </w:r>
    </w:p>
  </w:footnote>
  <w:footnote w:id="7">
    <w:p w:rsidR="00266C40" w:rsidRDefault="00266C40" w:rsidP="00266C40">
      <w:pPr>
        <w:pStyle w:val="FootnoteText"/>
      </w:pPr>
      <w:r>
        <w:rPr>
          <w:rStyle w:val="FootnoteReference"/>
        </w:rPr>
        <w:footnoteRef/>
      </w:r>
      <w:r>
        <w:t xml:space="preserve"> Theo quy định tại Điều 5, Luật Tiếp công dân.</w:t>
      </w:r>
    </w:p>
  </w:footnote>
  <w:footnote w:id="8">
    <w:p w:rsidR="00266C40" w:rsidRPr="008301F6" w:rsidRDefault="00266C40" w:rsidP="00266C40">
      <w:pPr>
        <w:pStyle w:val="FootnoteText"/>
        <w:tabs>
          <w:tab w:val="center" w:pos="4536"/>
        </w:tabs>
        <w:jc w:val="both"/>
        <w:rPr>
          <w:lang w:val="vi-VN"/>
        </w:rPr>
      </w:pPr>
      <w:r w:rsidRPr="008301F6">
        <w:rPr>
          <w:rStyle w:val="FootnoteReference"/>
        </w:rPr>
        <w:footnoteRef/>
      </w:r>
      <w:r w:rsidRPr="00B3165C">
        <w:rPr>
          <w:iCs/>
          <w:lang w:val="vi-VN"/>
        </w:rPr>
        <w:t>Theo quy định tại Khoản 9, Điều 40 Luật q</w:t>
      </w:r>
      <w:r w:rsidRPr="00B3165C">
        <w:rPr>
          <w:rStyle w:val="Strong"/>
          <w:b w:val="0"/>
          <w:lang w:val="vi-VN"/>
        </w:rPr>
        <w:t>uản lý, sử dụng vốn nhà nước đầu tư vào sản xuất, kinh doanh tại doanh nghiệp</w:t>
      </w:r>
      <w:r w:rsidRPr="00B3165C">
        <w:rPr>
          <w:lang w:val="vi-VN"/>
        </w:rPr>
        <w:t>.</w:t>
      </w:r>
    </w:p>
  </w:footnote>
  <w:footnote w:id="9">
    <w:p w:rsidR="00266C40" w:rsidRPr="008301F6" w:rsidRDefault="00266C40" w:rsidP="00266C40">
      <w:pPr>
        <w:pStyle w:val="FootnoteText"/>
        <w:tabs>
          <w:tab w:val="center" w:pos="4536"/>
        </w:tabs>
        <w:jc w:val="both"/>
        <w:rPr>
          <w:lang w:val="vi-VN"/>
        </w:rPr>
      </w:pPr>
      <w:r w:rsidRPr="008301F6">
        <w:rPr>
          <w:rStyle w:val="FootnoteReference"/>
        </w:rPr>
        <w:footnoteRef/>
      </w:r>
      <w:r w:rsidRPr="00B3165C">
        <w:rPr>
          <w:iCs/>
          <w:lang w:val="vi-VN"/>
        </w:rPr>
        <w:t xml:space="preserve">Theo quy định tại Khoản </w:t>
      </w:r>
      <w:r w:rsidRPr="007F30FB">
        <w:rPr>
          <w:iCs/>
          <w:lang w:val="vi-VN"/>
        </w:rPr>
        <w:t>4</w:t>
      </w:r>
      <w:r w:rsidRPr="00B3165C">
        <w:rPr>
          <w:iCs/>
          <w:lang w:val="vi-VN"/>
        </w:rPr>
        <w:t xml:space="preserve">, Điều </w:t>
      </w:r>
      <w:r w:rsidRPr="007F30FB">
        <w:rPr>
          <w:iCs/>
          <w:lang w:val="vi-VN"/>
        </w:rPr>
        <w:t>28</w:t>
      </w:r>
      <w:r w:rsidRPr="00B3165C">
        <w:rPr>
          <w:iCs/>
          <w:lang w:val="vi-VN"/>
        </w:rPr>
        <w:t xml:space="preserve"> Luật </w:t>
      </w:r>
      <w:r w:rsidRPr="007F30FB">
        <w:rPr>
          <w:iCs/>
          <w:lang w:val="vi-VN"/>
        </w:rPr>
        <w:t>phòng, chống tác hại của thuốc lá</w:t>
      </w:r>
      <w:r w:rsidRPr="00B3165C">
        <w:rPr>
          <w:lang w:val="vi-VN"/>
        </w:rPr>
        <w:t>.</w:t>
      </w:r>
    </w:p>
  </w:footnote>
  <w:footnote w:id="10">
    <w:p w:rsidR="00266C40" w:rsidRPr="007F30FB" w:rsidRDefault="00266C40" w:rsidP="00266C40">
      <w:pPr>
        <w:pStyle w:val="FootnoteText"/>
        <w:rPr>
          <w:lang w:val="vi-VN"/>
        </w:rPr>
      </w:pPr>
      <w:r>
        <w:rPr>
          <w:rStyle w:val="FootnoteReference"/>
        </w:rPr>
        <w:footnoteRef/>
      </w:r>
      <w:r w:rsidRPr="007F30FB">
        <w:rPr>
          <w:lang w:val="vi-VN"/>
        </w:rPr>
        <w:t xml:space="preserve"> Theo quy định tại khoản 6, Điều 5 Luật Đường sắt.</w:t>
      </w:r>
    </w:p>
  </w:footnote>
  <w:footnote w:id="11">
    <w:p w:rsidR="00266C40" w:rsidRPr="008301F6" w:rsidRDefault="00266C40" w:rsidP="00266C40">
      <w:pPr>
        <w:pStyle w:val="FootnoteText"/>
        <w:tabs>
          <w:tab w:val="center" w:pos="4536"/>
        </w:tabs>
        <w:jc w:val="both"/>
        <w:rPr>
          <w:lang w:val="vi-VN"/>
        </w:rPr>
      </w:pPr>
      <w:r w:rsidRPr="008301F6">
        <w:rPr>
          <w:rStyle w:val="FootnoteReference"/>
        </w:rPr>
        <w:footnoteRef/>
      </w:r>
      <w:r w:rsidRPr="00B3165C">
        <w:rPr>
          <w:lang w:val="vi-VN"/>
        </w:rPr>
        <w:t xml:space="preserve"> Theo quy định tại Khoản </w:t>
      </w:r>
      <w:r w:rsidRPr="007F30FB">
        <w:rPr>
          <w:lang w:val="vi-VN"/>
        </w:rPr>
        <w:t>6</w:t>
      </w:r>
      <w:r>
        <w:rPr>
          <w:lang w:val="vi-VN"/>
        </w:rPr>
        <w:t xml:space="preserve">, Điều </w:t>
      </w:r>
      <w:r w:rsidRPr="007F30FB">
        <w:rPr>
          <w:lang w:val="vi-VN"/>
        </w:rPr>
        <w:t>73</w:t>
      </w:r>
      <w:r>
        <w:rPr>
          <w:lang w:val="vi-VN"/>
        </w:rPr>
        <w:t xml:space="preserve">, Luật </w:t>
      </w:r>
      <w:r w:rsidRPr="007F30FB">
        <w:rPr>
          <w:lang w:val="vi-VN"/>
        </w:rPr>
        <w:t>Khoa học và Công nghệ</w:t>
      </w:r>
      <w:r w:rsidRPr="00B3165C">
        <w:rPr>
          <w:lang w:val="vi-VN"/>
        </w:rPr>
        <w:t>.</w:t>
      </w:r>
    </w:p>
  </w:footnote>
  <w:footnote w:id="12">
    <w:p w:rsidR="00266C40" w:rsidRPr="007F30FB" w:rsidRDefault="00266C40" w:rsidP="00266C40">
      <w:pPr>
        <w:pStyle w:val="FootnoteText"/>
        <w:jc w:val="both"/>
        <w:rPr>
          <w:lang w:val="vi-VN"/>
        </w:rPr>
      </w:pPr>
      <w:r>
        <w:rPr>
          <w:rStyle w:val="FootnoteReference"/>
        </w:rPr>
        <w:footnoteRef/>
      </w:r>
      <w:r w:rsidRPr="007F30FB">
        <w:rPr>
          <w:lang w:val="vi-VN"/>
        </w:rPr>
        <w:t xml:space="preserve"> Theo quy định tại khoản 1, Điều 105 Luật Giáo dục.</w:t>
      </w:r>
    </w:p>
  </w:footnote>
  <w:footnote w:id="13">
    <w:p w:rsidR="00D4610A" w:rsidRPr="007F30FB" w:rsidRDefault="00D4610A" w:rsidP="0099575A">
      <w:pPr>
        <w:pStyle w:val="FootnoteText"/>
        <w:jc w:val="both"/>
        <w:rPr>
          <w:lang w:val="vi-VN"/>
        </w:rPr>
      </w:pPr>
      <w:r>
        <w:rPr>
          <w:rStyle w:val="FootnoteReference"/>
        </w:rPr>
        <w:footnoteRef/>
      </w:r>
      <w:r w:rsidRPr="007F30FB">
        <w:rPr>
          <w:lang w:val="vi-VN"/>
        </w:rPr>
        <w:t xml:space="preserve"> Theo quy định tại Điều 4 Nghị quyết số 94/2015/QH13 về chủ trương đầu tư dự án Cảng hàng không quốc tế Long Thành; Điều 3 Nghị quyết số 95/2019/QH14 về báo cáo nghiên cứu khả thi dự án đầu tư xây dựng Cảng hàng không quốc tế Long Thành giai đoạn 1.</w:t>
      </w:r>
    </w:p>
  </w:footnote>
  <w:footnote w:id="14">
    <w:p w:rsidR="00D4610A" w:rsidRPr="008301F6" w:rsidRDefault="00D4610A" w:rsidP="0099575A">
      <w:pPr>
        <w:pStyle w:val="FootnoteText"/>
        <w:tabs>
          <w:tab w:val="center" w:pos="4536"/>
        </w:tabs>
        <w:jc w:val="both"/>
        <w:rPr>
          <w:lang w:val="vi-VN"/>
        </w:rPr>
      </w:pPr>
      <w:r w:rsidRPr="008301F6">
        <w:rPr>
          <w:rStyle w:val="FootnoteReference"/>
        </w:rPr>
        <w:footnoteRef/>
      </w:r>
      <w:r w:rsidRPr="00B3165C">
        <w:rPr>
          <w:lang w:val="vi-VN"/>
        </w:rPr>
        <w:t xml:space="preserve"> Theo quy định tại </w:t>
      </w:r>
      <w:r w:rsidRPr="007F30FB">
        <w:rPr>
          <w:lang w:val="vi-VN"/>
        </w:rPr>
        <w:t xml:space="preserve">Khoản 3, </w:t>
      </w:r>
      <w:r w:rsidRPr="00B3165C">
        <w:rPr>
          <w:lang w:val="vi-VN"/>
        </w:rPr>
        <w:t xml:space="preserve">Điều </w:t>
      </w:r>
      <w:r w:rsidRPr="007F30FB">
        <w:rPr>
          <w:lang w:val="vi-VN"/>
        </w:rPr>
        <w:t>19, Nghị quyết số 42/2017/QH14 về thí điểm xử lý nợ xấu của các tổ chức tín dụng.</w:t>
      </w:r>
    </w:p>
  </w:footnote>
  <w:footnote w:id="15">
    <w:p w:rsidR="00D4610A" w:rsidRPr="007F30FB" w:rsidRDefault="00D4610A" w:rsidP="0099575A">
      <w:pPr>
        <w:widowControl w:val="0"/>
        <w:jc w:val="both"/>
        <w:rPr>
          <w:b/>
          <w:spacing w:val="-8"/>
          <w:lang w:val="vi-VN"/>
        </w:rPr>
      </w:pPr>
      <w:r w:rsidRPr="006B4233">
        <w:rPr>
          <w:rStyle w:val="FootnoteReference"/>
          <w:sz w:val="20"/>
          <w:szCs w:val="20"/>
        </w:rPr>
        <w:footnoteRef/>
      </w:r>
      <w:r w:rsidRPr="007F30FB">
        <w:rPr>
          <w:sz w:val="20"/>
          <w:szCs w:val="20"/>
          <w:lang w:val="vi-VN"/>
        </w:rPr>
        <w:t>Theo quy định tại khoản 5 Điều 2 Nghị quyết số 120/2020/QH14 Phê duyệt chủ trương đầu tư Chương trình mục tiêu quốc gia phát triển kinh tế - xã hội vùng đồng bào dân tộc thiểu số và miền núi giai đoạn 2021 – 2030.</w:t>
      </w:r>
    </w:p>
  </w:footnote>
  <w:footnote w:id="16">
    <w:p w:rsidR="00D4610A" w:rsidRPr="007F30FB" w:rsidRDefault="00D4610A" w:rsidP="0099575A">
      <w:pPr>
        <w:pStyle w:val="FootnoteText"/>
        <w:rPr>
          <w:lang w:val="vi-VN"/>
        </w:rPr>
      </w:pPr>
      <w:r>
        <w:rPr>
          <w:rStyle w:val="FootnoteReference"/>
        </w:rPr>
        <w:footnoteRef/>
      </w:r>
      <w:r w:rsidRPr="007F30FB">
        <w:rPr>
          <w:lang w:val="vi-VN"/>
        </w:rPr>
        <w:t xml:space="preserve"> Theo quy định tại Điều 4 Nghị quyết số 93/2019/QH14 ngày 26/11/2019 về chủ trương đầu tư Dự án hồ chứa nước Ka Pét, huyện Hàm Thuận Nam, tỉnh Bình Thuận.</w:t>
      </w:r>
    </w:p>
  </w:footnote>
  <w:footnote w:id="17">
    <w:p w:rsidR="00D4610A" w:rsidRPr="007F30FB" w:rsidRDefault="00D4610A" w:rsidP="0099575A">
      <w:pPr>
        <w:jc w:val="both"/>
        <w:rPr>
          <w:b/>
          <w:bCs/>
          <w:color w:val="000000"/>
          <w:lang w:val="vi-VN"/>
        </w:rPr>
      </w:pPr>
      <w:r w:rsidRPr="00F6265B">
        <w:rPr>
          <w:rStyle w:val="FootnoteReference"/>
          <w:sz w:val="20"/>
          <w:szCs w:val="20"/>
        </w:rPr>
        <w:footnoteRef/>
      </w:r>
      <w:r w:rsidRPr="007F30FB">
        <w:rPr>
          <w:sz w:val="20"/>
          <w:szCs w:val="20"/>
          <w:lang w:val="vi-VN"/>
        </w:rPr>
        <w:t xml:space="preserve"> Theo quy định tại khoản 2 Điều 3 Nghị quyết số 102/2020/QH14 Phê chuẩn Hiệp định Thương mại tự do giữa Cộng hòa xã hội chủ nghĩa Việt Nam và Liên minh Châu Âu.</w:t>
      </w:r>
    </w:p>
  </w:footnote>
  <w:footnote w:id="18">
    <w:p w:rsidR="00D4610A" w:rsidRPr="007F30FB" w:rsidRDefault="00D4610A" w:rsidP="0099575A">
      <w:pPr>
        <w:pStyle w:val="FootnoteText"/>
        <w:rPr>
          <w:lang w:val="vi-VN"/>
        </w:rPr>
      </w:pPr>
      <w:r>
        <w:rPr>
          <w:rStyle w:val="FootnoteReference"/>
        </w:rPr>
        <w:footnoteRef/>
      </w:r>
      <w:r w:rsidRPr="007F30FB">
        <w:rPr>
          <w:lang w:val="vi-VN"/>
        </w:rPr>
        <w:t xml:space="preserve"> Theo quy định tại Điều 10 Luật Kiểm toán nhà nước.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575A"/>
    <w:rsid w:val="00003C47"/>
    <w:rsid w:val="0003682C"/>
    <w:rsid w:val="00061D5B"/>
    <w:rsid w:val="00066526"/>
    <w:rsid w:val="00073717"/>
    <w:rsid w:val="000A41FC"/>
    <w:rsid w:val="000B722C"/>
    <w:rsid w:val="000D10D5"/>
    <w:rsid w:val="000D178E"/>
    <w:rsid w:val="000D1D08"/>
    <w:rsid w:val="0011087B"/>
    <w:rsid w:val="00123B2B"/>
    <w:rsid w:val="001450F6"/>
    <w:rsid w:val="00160DF1"/>
    <w:rsid w:val="001737D6"/>
    <w:rsid w:val="001A35E7"/>
    <w:rsid w:val="001A36C6"/>
    <w:rsid w:val="002248AA"/>
    <w:rsid w:val="002345C3"/>
    <w:rsid w:val="0024305B"/>
    <w:rsid w:val="00245880"/>
    <w:rsid w:val="002556E7"/>
    <w:rsid w:val="00256D91"/>
    <w:rsid w:val="0026063A"/>
    <w:rsid w:val="00266058"/>
    <w:rsid w:val="00266C40"/>
    <w:rsid w:val="002869A8"/>
    <w:rsid w:val="00295763"/>
    <w:rsid w:val="002C18E3"/>
    <w:rsid w:val="002C244E"/>
    <w:rsid w:val="002D6A70"/>
    <w:rsid w:val="002E7626"/>
    <w:rsid w:val="002E7F54"/>
    <w:rsid w:val="00305F13"/>
    <w:rsid w:val="0031106F"/>
    <w:rsid w:val="00313AC1"/>
    <w:rsid w:val="00320116"/>
    <w:rsid w:val="00321BE6"/>
    <w:rsid w:val="00322F62"/>
    <w:rsid w:val="00331990"/>
    <w:rsid w:val="00342D2D"/>
    <w:rsid w:val="00345B91"/>
    <w:rsid w:val="00346CD1"/>
    <w:rsid w:val="00351F0E"/>
    <w:rsid w:val="00353B5F"/>
    <w:rsid w:val="003665E7"/>
    <w:rsid w:val="003912E8"/>
    <w:rsid w:val="003954CF"/>
    <w:rsid w:val="003C0C51"/>
    <w:rsid w:val="003D34DD"/>
    <w:rsid w:val="003D34EA"/>
    <w:rsid w:val="003E0D1C"/>
    <w:rsid w:val="004653F4"/>
    <w:rsid w:val="00474CF1"/>
    <w:rsid w:val="004814EA"/>
    <w:rsid w:val="004B7F4C"/>
    <w:rsid w:val="004C07D2"/>
    <w:rsid w:val="004C2882"/>
    <w:rsid w:val="004F19BF"/>
    <w:rsid w:val="004F390A"/>
    <w:rsid w:val="004F6017"/>
    <w:rsid w:val="00502190"/>
    <w:rsid w:val="00516225"/>
    <w:rsid w:val="00522ED7"/>
    <w:rsid w:val="005673B6"/>
    <w:rsid w:val="00573204"/>
    <w:rsid w:val="00582860"/>
    <w:rsid w:val="00587826"/>
    <w:rsid w:val="005A0B7E"/>
    <w:rsid w:val="005A3A3F"/>
    <w:rsid w:val="005A4844"/>
    <w:rsid w:val="005A6987"/>
    <w:rsid w:val="005E28E7"/>
    <w:rsid w:val="005F37B1"/>
    <w:rsid w:val="005F621A"/>
    <w:rsid w:val="00602EDD"/>
    <w:rsid w:val="006102F7"/>
    <w:rsid w:val="00626183"/>
    <w:rsid w:val="00636DDD"/>
    <w:rsid w:val="006408B0"/>
    <w:rsid w:val="00640EC6"/>
    <w:rsid w:val="00646628"/>
    <w:rsid w:val="006513BA"/>
    <w:rsid w:val="00666BA1"/>
    <w:rsid w:val="00673027"/>
    <w:rsid w:val="00676B2B"/>
    <w:rsid w:val="006835E1"/>
    <w:rsid w:val="00686290"/>
    <w:rsid w:val="00695023"/>
    <w:rsid w:val="006B273B"/>
    <w:rsid w:val="006B6777"/>
    <w:rsid w:val="006C5DC8"/>
    <w:rsid w:val="006D5863"/>
    <w:rsid w:val="007012EC"/>
    <w:rsid w:val="00705E4C"/>
    <w:rsid w:val="00706EB1"/>
    <w:rsid w:val="00714623"/>
    <w:rsid w:val="007261E6"/>
    <w:rsid w:val="0073193A"/>
    <w:rsid w:val="00741D9A"/>
    <w:rsid w:val="00764C65"/>
    <w:rsid w:val="007712BE"/>
    <w:rsid w:val="00784A79"/>
    <w:rsid w:val="00791B9F"/>
    <w:rsid w:val="00794828"/>
    <w:rsid w:val="007A23C2"/>
    <w:rsid w:val="007B3C65"/>
    <w:rsid w:val="007C126D"/>
    <w:rsid w:val="007C6E0B"/>
    <w:rsid w:val="0080590B"/>
    <w:rsid w:val="00812858"/>
    <w:rsid w:val="00815BC8"/>
    <w:rsid w:val="00834021"/>
    <w:rsid w:val="00834432"/>
    <w:rsid w:val="0087064B"/>
    <w:rsid w:val="00877B9A"/>
    <w:rsid w:val="00883AB6"/>
    <w:rsid w:val="00885FDB"/>
    <w:rsid w:val="008A0E3C"/>
    <w:rsid w:val="008A34CE"/>
    <w:rsid w:val="008A4A45"/>
    <w:rsid w:val="008C5DC8"/>
    <w:rsid w:val="008D5BF9"/>
    <w:rsid w:val="008E4AD9"/>
    <w:rsid w:val="008E6F54"/>
    <w:rsid w:val="009056A4"/>
    <w:rsid w:val="00921E21"/>
    <w:rsid w:val="00923194"/>
    <w:rsid w:val="009279D2"/>
    <w:rsid w:val="00944E4C"/>
    <w:rsid w:val="00966B71"/>
    <w:rsid w:val="00967E5B"/>
    <w:rsid w:val="0099575A"/>
    <w:rsid w:val="00997F3C"/>
    <w:rsid w:val="009B129A"/>
    <w:rsid w:val="009B46EF"/>
    <w:rsid w:val="009B53D7"/>
    <w:rsid w:val="009B6DA5"/>
    <w:rsid w:val="009B7570"/>
    <w:rsid w:val="009C3821"/>
    <w:rsid w:val="009D7ED4"/>
    <w:rsid w:val="009F458B"/>
    <w:rsid w:val="00A00E6E"/>
    <w:rsid w:val="00A11BC6"/>
    <w:rsid w:val="00A42B9B"/>
    <w:rsid w:val="00A43203"/>
    <w:rsid w:val="00A50659"/>
    <w:rsid w:val="00A820AC"/>
    <w:rsid w:val="00A90A4A"/>
    <w:rsid w:val="00AB3548"/>
    <w:rsid w:val="00AB418B"/>
    <w:rsid w:val="00AB5DDA"/>
    <w:rsid w:val="00AB6FE8"/>
    <w:rsid w:val="00AC1EDC"/>
    <w:rsid w:val="00AD6F33"/>
    <w:rsid w:val="00AF4427"/>
    <w:rsid w:val="00AF5A23"/>
    <w:rsid w:val="00B041C6"/>
    <w:rsid w:val="00B468BB"/>
    <w:rsid w:val="00B8009F"/>
    <w:rsid w:val="00B84920"/>
    <w:rsid w:val="00BA53CC"/>
    <w:rsid w:val="00BB5E4A"/>
    <w:rsid w:val="00BC2C32"/>
    <w:rsid w:val="00C02FDB"/>
    <w:rsid w:val="00C040F8"/>
    <w:rsid w:val="00C20755"/>
    <w:rsid w:val="00C34DAF"/>
    <w:rsid w:val="00C424AD"/>
    <w:rsid w:val="00C523E5"/>
    <w:rsid w:val="00C8221C"/>
    <w:rsid w:val="00CA4BCE"/>
    <w:rsid w:val="00CA6E2B"/>
    <w:rsid w:val="00CC598E"/>
    <w:rsid w:val="00D00D71"/>
    <w:rsid w:val="00D050B4"/>
    <w:rsid w:val="00D14A2B"/>
    <w:rsid w:val="00D2183C"/>
    <w:rsid w:val="00D404EE"/>
    <w:rsid w:val="00D4522C"/>
    <w:rsid w:val="00D4610A"/>
    <w:rsid w:val="00D5639A"/>
    <w:rsid w:val="00D67293"/>
    <w:rsid w:val="00D7704E"/>
    <w:rsid w:val="00D852DF"/>
    <w:rsid w:val="00D9601A"/>
    <w:rsid w:val="00E0265B"/>
    <w:rsid w:val="00E10B1B"/>
    <w:rsid w:val="00E12D9F"/>
    <w:rsid w:val="00E15131"/>
    <w:rsid w:val="00E35127"/>
    <w:rsid w:val="00E6264C"/>
    <w:rsid w:val="00E63456"/>
    <w:rsid w:val="00E63919"/>
    <w:rsid w:val="00E95B37"/>
    <w:rsid w:val="00EA07B8"/>
    <w:rsid w:val="00EA6E9A"/>
    <w:rsid w:val="00EB78EF"/>
    <w:rsid w:val="00EE0DE8"/>
    <w:rsid w:val="00EF0128"/>
    <w:rsid w:val="00EF0E4D"/>
    <w:rsid w:val="00F10331"/>
    <w:rsid w:val="00F118B0"/>
    <w:rsid w:val="00F37E32"/>
    <w:rsid w:val="00F401CD"/>
    <w:rsid w:val="00F438E5"/>
    <w:rsid w:val="00F43F8C"/>
    <w:rsid w:val="00F66D69"/>
    <w:rsid w:val="00F67812"/>
    <w:rsid w:val="00F7387C"/>
    <w:rsid w:val="00F822B4"/>
    <w:rsid w:val="00F868F2"/>
    <w:rsid w:val="00FA1BFD"/>
    <w:rsid w:val="00FB0E2E"/>
    <w:rsid w:val="00FB2075"/>
    <w:rsid w:val="00FC016E"/>
    <w:rsid w:val="00FC0BB3"/>
    <w:rsid w:val="00FC1C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qFormat/>
    <w:rsid w:val="0099575A"/>
    <w:rPr>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rsid w:val="0099575A"/>
    <w:rPr>
      <w:rFonts w:ascii="Times New Roman" w:eastAsia="Times New Roman" w:hAnsi="Times New Roman" w:cs="Times New Roman"/>
      <w:sz w:val="20"/>
      <w:szCs w:val="20"/>
    </w:rPr>
  </w:style>
  <w:style w:type="character" w:styleId="FootnoteReference">
    <w:name w:val="footnote reference"/>
    <w:semiHidden/>
    <w:rsid w:val="0099575A"/>
    <w:rPr>
      <w:vertAlign w:val="superscript"/>
    </w:rPr>
  </w:style>
  <w:style w:type="character" w:styleId="Strong">
    <w:name w:val="Strong"/>
    <w:uiPriority w:val="22"/>
    <w:qFormat/>
    <w:rsid w:val="0099575A"/>
    <w:rPr>
      <w:b/>
      <w:bCs/>
    </w:rPr>
  </w:style>
  <w:style w:type="paragraph" w:styleId="BalloonText">
    <w:name w:val="Balloon Text"/>
    <w:basedOn w:val="Normal"/>
    <w:link w:val="BalloonTextChar"/>
    <w:uiPriority w:val="99"/>
    <w:semiHidden/>
    <w:unhideWhenUsed/>
    <w:rsid w:val="00D67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93"/>
    <w:rPr>
      <w:rFonts w:ascii="Segoe UI" w:eastAsia="Times New Roman" w:hAnsi="Segoe UI" w:cs="Segoe UI"/>
      <w:sz w:val="18"/>
      <w:szCs w:val="18"/>
    </w:rPr>
  </w:style>
  <w:style w:type="paragraph" w:styleId="Header">
    <w:name w:val="header"/>
    <w:basedOn w:val="Normal"/>
    <w:link w:val="HeaderChar"/>
    <w:uiPriority w:val="99"/>
    <w:unhideWhenUsed/>
    <w:rsid w:val="00D67293"/>
    <w:pPr>
      <w:tabs>
        <w:tab w:val="center" w:pos="4680"/>
        <w:tab w:val="right" w:pos="9360"/>
      </w:tabs>
    </w:pPr>
  </w:style>
  <w:style w:type="character" w:customStyle="1" w:styleId="HeaderChar">
    <w:name w:val="Header Char"/>
    <w:basedOn w:val="DefaultParagraphFont"/>
    <w:link w:val="Header"/>
    <w:uiPriority w:val="99"/>
    <w:rsid w:val="00D672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7293"/>
    <w:pPr>
      <w:tabs>
        <w:tab w:val="center" w:pos="4680"/>
        <w:tab w:val="right" w:pos="9360"/>
      </w:tabs>
    </w:pPr>
  </w:style>
  <w:style w:type="character" w:customStyle="1" w:styleId="FooterChar">
    <w:name w:val="Footer Char"/>
    <w:basedOn w:val="DefaultParagraphFont"/>
    <w:link w:val="Footer"/>
    <w:uiPriority w:val="99"/>
    <w:rsid w:val="00D672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6C7E1-E3ED-4700-8BD6-7699BAB8AD4D}">
  <ds:schemaRefs>
    <ds:schemaRef ds:uri="http://schemas.openxmlformats.org/officeDocument/2006/bibliography"/>
  </ds:schemaRefs>
</ds:datastoreItem>
</file>

<file path=customXml/itemProps2.xml><?xml version="1.0" encoding="utf-8"?>
<ds:datastoreItem xmlns:ds="http://schemas.openxmlformats.org/officeDocument/2006/customXml" ds:itemID="{C2DEC320-AD19-44FE-B75A-059C3CBE0168}"/>
</file>

<file path=customXml/itemProps3.xml><?xml version="1.0" encoding="utf-8"?>
<ds:datastoreItem xmlns:ds="http://schemas.openxmlformats.org/officeDocument/2006/customXml" ds:itemID="{1A1203DB-867F-4065-845B-8D46F2D1F69E}"/>
</file>

<file path=customXml/itemProps4.xml><?xml version="1.0" encoding="utf-8"?>
<ds:datastoreItem xmlns:ds="http://schemas.openxmlformats.org/officeDocument/2006/customXml" ds:itemID="{9A628885-28F9-4463-A318-3FDE903F6C03}"/>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Viet</dc:creator>
  <cp:lastModifiedBy>admin</cp:lastModifiedBy>
  <cp:revision>2</cp:revision>
  <cp:lastPrinted>2021-10-12T03:22:00Z</cp:lastPrinted>
  <dcterms:created xsi:type="dcterms:W3CDTF">2021-10-13T01:09:00Z</dcterms:created>
  <dcterms:modified xsi:type="dcterms:W3CDTF">2021-10-13T01:09:00Z</dcterms:modified>
</cp:coreProperties>
</file>